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ATAS/983/2022 vom 14. November 2022</w:t>
      </w:r>
    </w:p>
    <w:p>
      <w:r>
        <w:t>GE Cour de justice, 2022-11-14, FR</w:t>
      </w:r>
    </w:p>
    <w:p>
      <w:r>
        <w:rPr>
          <w:b/>
        </w:rPr>
        <w:t xml:space="preserve">Quelle: </w:t>
      </w:r>
      <w:r>
        <w:t>https://mcp.opencaselaw.ch/entscheid/ge_gerichte_ATAS_983_2022</w:t>
      </w:r>
    </w:p>
    <w:p>
      <w:r>
        <w:t>FR: GE_GERICHTE ATAS/983/2022 du 14 novembre 2022</w:t>
      </w:r>
    </w:p>
    <w:p>
      <w:r>
        <w:t>IT: GE_GERICHTE ATAS/983/2022 del 14 novembre 2022</w:t>
      </w:r>
    </w:p>
    <w:p>
      <w:pPr>
        <w:pStyle w:val="Heading2"/>
      </w:pPr>
      <w:r>
        <w:t>Volltext</w:t>
      </w:r>
    </w:p>
    <w:p>
      <w:r>
        <w:t>Siégeant : Karine STECK, Présidente.</w:t>
      </w:r>
    </w:p>
    <w:p>
      <w:r>
        <w:t>RÉPUBLIQUE ET</w:t>
      </w:r>
    </w:p>
    <w:p>
      <w:r>
        <w:t>CANTON DE GEN ÈVE POUVOIR JUDICIAIRE</w:t>
      </w:r>
    </w:p>
    <w:p>
      <w:r>
        <w:t>A/2689/2022 ATAS/983/2022 COUR DE JUSTICE Chambre des assurances sociales Arrêt du 14 novembre 2022 3ème Chambre</w:t>
      </w:r>
    </w:p>
    <w:p>
      <w:r>
        <w:t>En la cause Madame A______, domiciliée rue ______, GENEVE, représentée par l’Association suisse des assurés (ASSUAS)</w:t>
      </w:r>
    </w:p>
    <w:p>
      <w:r>
        <w:t>recourante</w:t>
      </w:r>
    </w:p>
    <w:p>
      <w:r>
        <w:t>contre OFFICE DE L'ASSURANCE-INVALIDITE DU CANTON DE GENEVE, Service juridique, sis rue des Gares 12, GENEVE</w:t>
      </w:r>
    </w:p>
    <w:p>
      <w:r>
        <w:t>intimé</w:t>
      </w:r>
    </w:p>
    <w:p>
      <w:r>
        <w:t>A/2689/2022 - 2/2 -</w:t>
      </w:r>
    </w:p>
    <w:p>
      <w:r>
        <w:t>Vu la décision du 24 juin 2022 de l’office de l’assurance-invalidité du canton de Genève (ci-après : OAI) octroyant à Madame A______ (ci-après : l’assurée) une rente entière d’invalidité limitée dans le temps, du 1er octobre 2018 au 30 avril 2019 et lui réclamant par ailleurs la restitution de CHF 16'765.- compensés partiellement - à hauteur de CHF 9'261.- - par les prestations versées à titre rétroactif ; Vu le recours interjeté par l’assurée le 25 août 2022, concluant à l’octroi d’une rente au- delà d’avril 2019 ; Vu la réponse de l’intimée du 22 septembre concluant au rejet du recours ; Attendu que, par écriture du 10 novembre 2022, l’assurée a indiqué qu’après consultation de son dossier, elle retirait son recours ; Qu'il convient d'en prendre acte et de rayer la cause du rôle.</w:t>
      </w:r>
    </w:p>
    <w:p>
      <w:r>
        <w:t>PAR CES MOTIFS, LA PRESIDENTE DE LA CHAMBRE DES ASSURANCES SOCIALES : Vu l'art. 133 al. 3 et 4 let. a de la loi sur l’organisation judiciaire du 26 septembre 2010 (LOJ - E 2 05)</w:t>
      </w:r>
    </w:p>
    <w:p>
      <w:r>
        <w:t>1. Prend acte du retrait du recours. 2. Raye la cause du rôle.</w:t>
      </w:r>
    </w:p>
    <w:p>
      <w:r>
        <w:t>La greffière</w:t>
      </w:r>
    </w:p>
    <w:p>
      <w:r>
        <w:t>Marie-Catherine SECHAUD</w:t>
      </w:r>
    </w:p>
    <w:p>
      <w:r>
        <w:t>La présidente</w:t>
      </w:r>
    </w:p>
    <w:p>
      <w:r>
        <w:t>Karine STECK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