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ATAS/983/2016 vom 28. November 2016</w:t>
      </w:r>
    </w:p>
    <w:p>
      <w:r>
        <w:t>GE Cour de justice, 2016-11-28, FR</w:t>
      </w:r>
    </w:p>
    <w:p>
      <w:r>
        <w:rPr>
          <w:b/>
        </w:rPr>
        <w:t xml:space="preserve">Quelle: </w:t>
      </w:r>
      <w:r>
        <w:t>https://mcp.opencaselaw.ch/entscheid/ge_gerichte_ATAS_983_2016</w:t>
      </w:r>
    </w:p>
    <w:p>
      <w:r>
        <w:t>FR: GE_GERICHTE ATAS/983/2016 du 28 novembre 2016</w:t>
      </w:r>
    </w:p>
    <w:p>
      <w:r>
        <w:t>IT: GE_GERICHTE ATAS/983/2016 del 28 novembre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LPGA est applicable au cas d'espèce.</w:t>
      </w:r>
    </w:p>
    <w:p>
      <w:r>
        <w:rPr>
          <w:b/>
        </w:rPr>
        <w:t>E. 3</w:t>
      </w:r>
    </w:p>
    <w:p>
      <w:r>
        <w:t>Il s'agit en l'occurrence d'examiner la recevabilité du recours.</w:t>
      </w:r>
    </w:p>
    <w:p>
      <w:r>
        <w:rPr>
          <w:b/>
        </w:rPr>
        <w:t>E. 4</w:t>
      </w:r>
    </w:p>
    <w:p>
      <w:r>
        <w:t>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L'art. 61 LPGA prévoit que la procédure devant la chambre des assurances sociales est réglée par le droit cantonal, sous réserve de ce que celui-ci respecte les exigences minimales requises par la LPGA.</w:t>
      </w:r>
    </w:p>
    <w:p>
      <w:r>
        <w:t>- 4/7-</w:t>
      </w:r>
    </w:p>
    <w:p>
      <w:r>
        <w:t>A/3291/2016 b. Les décisions sur opposition et celles contre lesquelles la voie de l'opposition n'est pas ouverte sont sujettes à recours dans le délai de 30 jours suivant leur notification (art. 56 et 60 LPGA ; cf. également l’art. 62 al. 1 let. a de la loi sur la procédure administrative du 12 septembre 1985 - LPA; RS E 5 10). c. Le délai commence à courir le lendemain de la communication (art. 38 al. 1 LPGA; art. 62 al. 3 LPA). Une communication qui n'est remise que contre la signature du destinataire ou d'un tiers habilité est réputée reçue au plus tard 7 jours après la première tentative infructueuse de distribution (art. 38 al. 2bis LPGA ; art. 62 al. 4 LPA). La règle de la fiction de la notification à l’échéance du délai de garde a été constamment confirmée par le Tribunal fédéral (ATF 137 III 208 consid. 3.1.3; 134 V 49 consid. 4 p. 51; arrêts du Tribunal fédéral 6B_679/2012 du 12 février 2013 consid. 2.2; 1C_549/2009 du 1er mars 2010). Cette fiction légale n'est pas influencée par le délai de retrait fixé par la poste : que ce délai soit plus long ou ait été prolongé ne modifie pas l'échéance légale des 7 jours (Y. DONZALLAZ, Loi sur le Tribunal fédéral, commentaire, n. 1089 ad art. 44 et la référence sous note n° 2553). Les actes de procédure étant soumis à réception, il s’agit d’éviter qu’un justiciable repousse à son gré le début d’un délai de recours en prenant connaissance quand il lui plaît d’un acte de procédure (cf. R. JEANPRETRE, L’expédition et la réception des actes de procédure et des actes juridiques, in RSJ, 69/1973, p. 349 ss). 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le délai de garde de son propre chef ou suite à une demande du justiciable (Arrêt du Tribunal fédéral I 108/07 du 4 juin 2007). Cela reviendrait en outre à laisser subsister un élément aléatoire dans la détermination de la date de notification, ce que la règle de la fiction de la notification a justement pour but de prévenir. Pour la computation des délais de recours, il y a lieu de s’en tenir dans tous les cas à la fiction de la notification à l’échéance du délai de garde tel qu’il est fixé dans les conditions générales de la poste (ATF U 216/00 du 31 mai 2001). Le jour de l'échec de la notification est pris en compte dans le calcul du délai de garde (Y. DONZALLAZ, op. cit., n. 1113 ad art. 44). d. En procédure administrative, le requérant doit indiquer son adresse qui correspondra à celle de notification. Pour être régulière, la notification doit intervenir à l'adresse indiquée par la partie elle-même à l'autorité. L'expédition doit être opérée à l'adresse mentionnée, jusqu'à ce qu'un avis de changement ait été communiqué à l'autorité. Cette dernière peut ainsi se prévaloir de la perfection de la notification dès lors que l'acte a été expédié à cet endroit. Lorsque l'autorité a appris, par exemple à l'occasion d'une autre cause mettant en présence la même personne, que celle-ci a déménagé, cette connaissance doit lui être opposée, le</w:t>
      </w:r>
    </w:p>
    <w:p>
      <w:r>
        <w:t>- 5/7-</w:t>
      </w:r>
    </w:p>
    <w:p>
      <w:r>
        <w:t>A/3291/2016 fardeau de la preuve incombant alors à l'administré. Dans la mesure où le pli est retourné au greffe avec la mention « parti sans laisser d'adresse » ou une autre indication de même nature, il incombe au tribunal de procéder aux recherches nécessaires. Il ne peut en effet plus se prévaloir d'un manquement du destinataire pour fictivement admettre que le pli lui est parvenu. Le destinataire a une obligation d'information à l'égard des autres intervenants de la procédure. Fondée sur la bonne foi, celle-ci dure pendant toute l'instance. En cas de changement d'adresse, il lui incombe d'en aviser le Tribunal. Il en va de même en cas de déplacement de longue durée, que ce soit à l'hôpital, au service militaire ou en vacances : le destinataire a la charge d'organiser l'acheminement de son courrier ou de désigner un mandataire ad hoc. On admet que si le défendeur a donné une adresse à laquelle doivent se faire les notifications postales, il a pris par la même occasion l'engagement - tacite - d'indiquer tous ses changements intervenus au sujet de cette adresse. L'obligation d'annonce prévaut en droit administratif, dès le dépôt de la requête ou la première information provenant de l'administration, dans tous les cas, jusqu'à l'entrée en force du jugement. Lorsque le destinataire n’avertit pas l'autorité de son changement d'adresse, il doit se laisser objecter la notification qui en résulte. Il n'en va différemment que dans la mesure où une grave négligence, respectivement un acte contraire à la bonne foi pourrait être mis à la charge de l'expéditeur (DONZALLAZ, La notification en droit interne suisse, Berne 2002, n 901, 908, 910, 913, 915 à 917 et 921 à 923 et les références citées). e.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f.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 MOOR, Droit administratif, vol. 2, Berne 1991, p. 181).</w:t>
      </w:r>
    </w:p>
    <w:p>
      <w:r>
        <w:rPr>
          <w:b/>
        </w:rPr>
        <w:t>E. 5</w:t>
      </w:r>
    </w:p>
    <w:p>
      <w:r>
        <w:t>En l'occurrence, l'intimée a prouvé avoir valablement notifié sa décision, en application de la fiction légale prévue par les art. 38 al. 2bis LPGA et 62 al. 4 LPA, en produisant l'enveloppe ayant contenu la décision querellée, dont il ressort qu'elle</w:t>
      </w:r>
    </w:p>
    <w:p>
      <w:r>
        <w:t>- 6/7-</w:t>
      </w:r>
    </w:p>
    <w:p>
      <w:r>
        <w:t>A/3291/2016 lui a été retournée, à l’échéance du délai de garde, non réclamée. Le fait qu'il était mentionné sur l'enveloppe que l'assuré avait fait garder son courrier en poste restante ne fait pas obstacle à la fiction légale de la notification après l'échéance du délai de garde de 7 jours, selon la jurisprudence précitée. La décision ayant été valablement notifiée, la caisse n'avait pas à tenir compte du fait que son second envoi était revenu avec la mention « parti sans laisser d'adresse ».</w:t>
      </w:r>
    </w:p>
    <w:p>
      <w:r>
        <w:rPr>
          <w:b/>
        </w:rPr>
        <w:t>E. 6</w:t>
      </w:r>
    </w:p>
    <w:p>
      <w:r>
        <w:t>Si le recourant a indiqué, dans son courriel du 7 mars 2016, avoir informé l'intimée qu'il n'habitait plus à « cette adresse », il a également précisé que c'était son adresse légale et qu'il habitait dans sa voiture depuis sa séparation. Il en résulte que c'est à juste titre que l'intimée a notifié sa décision à la route des Fayards 271, à Versoix, son adresse légale à cette période, à teneur de l'extrait de la base de données de l'OCPM, laquelle était encore valable, puisque le recourant a admis que c'était son adresse légale et qu'il n'a pas informé la caisse d'un autre domicile de notification. Il devait en conséquence s'organiser pour recevoir la correspondance envoyée à cette adresse, qu'il avait lui-même fournie à l'intimée, ce d'autant plus qu'ayant formé opposition, il devait s'attendre à recevoir une décision de celle-ci. Le recours a été interjeté le 29 septembre 2016, soit après le délai de 30 jours dès la notification de la décision querellée, qui est intervenue le 12 juin 2015, à l'échéance du délai de garde de l'envoi adressé en recommandé par l'intimée le 5 mai 2015.</w:t>
      </w:r>
    </w:p>
    <w:p>
      <w:r>
        <w:rPr>
          <w:b/>
        </w:rPr>
        <w:t>E. 7</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Le recourant n'a pas invoqué de motifs de restitution dans le délai qui lui a été imparti par la chambre de céans et il n'y a pas d'indice au dossier qu'il en aurait eus. En conséquence, il n'est pas établi, au degré de vraisemblance prépondérante requis, qu'il a été empêché sans sa faute de recourir en temps utile. Partant, le recours doit être déclaré irrecevable.</w:t>
      </w:r>
    </w:p>
    <w:p>
      <w:r>
        <w:rPr>
          <w:b/>
        </w:rPr>
        <w:t>E. 8</w:t>
      </w:r>
    </w:p>
    <w:p>
      <w:r>
        <w:t>La procédure est gratuite (art. 61 let. a LPGA et 89H LPA).</w:t>
      </w:r>
    </w:p>
    <w:p>
      <w:r>
        <w:t>- 7/7-</w:t>
      </w:r>
    </w:p>
    <w:p>
      <w:r>
        <w:t>A/3291/2016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