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ATAS/983/2015 vom 21. Dezember 2015</w:t>
      </w:r>
    </w:p>
    <w:p>
      <w:r>
        <w:t>GE Cour de justice, 2015-12-21, FR</w:t>
      </w:r>
    </w:p>
    <w:p>
      <w:r>
        <w:rPr>
          <w:b/>
        </w:rPr>
        <w:t xml:space="preserve">Quelle: </w:t>
      </w:r>
      <w:r>
        <w:t>https://mcp.opencaselaw.ch/entscheid/ge_gerichte_ATAS_983_2015</w:t>
      </w:r>
    </w:p>
    <w:p>
      <w:r>
        <w:t>FR: GE_GERICHTE ATAS/983/2015 du 21 décembre 2015</w:t>
      </w:r>
    </w:p>
    <w:p>
      <w:r>
        <w:t>IT: GE_GERICHTE ATAS/983/2015 del 21 dicembre 2015</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w:t>
      </w:r>
    </w:p>
    <w:p>
      <w:r>
        <w:t>- 11/15-</w:t>
      </w:r>
    </w:p>
    <w:p>
      <w:r>
        <w:t>A/3437/2014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3</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w:t>
      </w:r>
    </w:p>
    <w:p>
      <w:r>
        <w:t>- 12/15-</w:t>
      </w:r>
    </w:p>
    <w:p>
      <w:r>
        <w:t>A/3437/2014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4</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5</w:t>
      </w:r>
    </w:p>
    <w:p>
      <w:r>
        <w:t>En l’occurrence, la jurisprudence au sujet des troubles somatoformes douloureux et des affections y assimilées a changé. Cette jurisprudence s'applique à toutes les procédures en cours, selon le Tribunal fédéral. Il s’avère ainsi nécessaire de réaliser une nouvelle expertise en prenant en considération les indicateurs, en partie nouveaux, de notre Haute Cour pour évaluer le caractère invalidant d’une symptomatologie douloureuse sans substrat organique objectivable.</w:t>
      </w:r>
    </w:p>
    <w:p>
      <w:r>
        <w:t>- 13/15-</w:t>
      </w:r>
    </w:p>
    <w:p>
      <w:r>
        <w:t>A/3437/2014 Il semble également que l’expertise de cette clinique a mentionné à tort que la recourante continuait toujours à s’occuper de sa décoration intérieure, qu’elle prenait beaucoup de plaisir à marcher et à s’occuper de son appartement. En effet, elle a déclaré à la chambre de céans que ce n’était plus le cas au moment de l’expertise. Enfin, il convient également d’évaluer les atteintes à la santé non objectivables de la recourante dans le contexte du conflit qui l’oppose à son fils depuis des années. Par conséquent, une expertise psychiatrique judiciaire doit être ordonnée.</w:t>
      </w:r>
    </w:p>
    <w:p>
      <w:r>
        <w:rPr>
          <w:b/>
        </w:rPr>
        <w:t>E. 6</w:t>
      </w:r>
    </w:p>
    <w:p>
      <w:r>
        <w:t>Concernant les compléments et les précisions des questions demandés par les parties, la chambre de céans ne les juge pas nécessaires, ceux-ci étant déjà compris dans la liste des questions qui leur a été communiquée.</w:t>
      </w:r>
    </w:p>
    <w:p>
      <w:r>
        <w:rPr>
          <w:b/>
        </w:rPr>
        <w:t>E. 7</w:t>
      </w:r>
    </w:p>
    <w:p>
      <w:r>
        <w:t>Quelle est la capacité de travail de Mme A______ dans une activité adaptée à ses limitations psychiatriques ?</w:t>
      </w:r>
    </w:p>
    <w:p>
      <w:r>
        <w:rPr>
          <w:b/>
        </w:rPr>
        <w:t>E. 8</w:t>
      </w:r>
    </w:p>
    <w:p>
      <w:r>
        <w:t>Depuis quand l'incapacité de travail éventuelle est-elle réduite sur le plan psychiatrique et comment a-t-elle évolué ?</w:t>
      </w:r>
    </w:p>
    <w:p>
      <w:r>
        <w:rPr>
          <w:b/>
        </w:rPr>
        <w:t>E. 9</w:t>
      </w:r>
    </w:p>
    <w:p>
      <w:r>
        <w:t>Quel est le domaine d’activité adapté sur le plan psychiatrique et depuis quand une telle activité est-elle exigible ?</w:t>
      </w:r>
    </w:p>
    <w:p>
      <w:r>
        <w:rPr>
          <w:b/>
        </w:rPr>
        <w:t>E. 10</w:t>
      </w:r>
    </w:p>
    <w:p>
      <w:r>
        <w:t>Comment vous déterminez-vous sur le volet psychiatrique de l’expertise de la clinique Corela ? Si vous ne partagez pas ses conclusions, pour quelles raisons vous en écartez-vous ?</w:t>
      </w:r>
    </w:p>
    <w:p>
      <w:r>
        <w:t>Questions pour évaluer la capacité de de travail de Mme A______ eu égard à la fibromyalgie:</w:t>
      </w:r>
    </w:p>
    <w:p>
      <w:r>
        <w:rPr>
          <w:b/>
        </w:rPr>
        <w:t>E. 11</w:t>
      </w:r>
    </w:p>
    <w:p>
      <w:r>
        <w:t>Dans quelle mesure les atteintes diagnostiquées, y compris la fibromyalgie, limitent-elles objectivement les fonctions nécessaires à la gestion du quotidien ?</w:t>
      </w:r>
    </w:p>
    <w:p>
      <w:r>
        <w:rPr>
          <w:b/>
        </w:rPr>
        <w:t>E. 12</w:t>
      </w:r>
    </w:p>
    <w:p>
      <w:r>
        <w:t>Y a-t-il une exagération des symptômes ou une constellation semblable (discordance substantielle entre les douleurs décrites et le comportement observé ou l’anamnèse, plaintes très démonstratives laissant insensible l’expert) ?</w:t>
      </w:r>
    </w:p>
    <w:p>
      <w:r>
        <w:rPr>
          <w:b/>
        </w:rPr>
        <w:t>E. 13</w:t>
      </w:r>
    </w:p>
    <w:p>
      <w:r>
        <w:t>Les limitations fonctionnelles sont-elles uniformes dans tous les domaines (professionnel et personnel) ?</w:t>
      </w:r>
    </w:p>
    <w:p>
      <w:r>
        <w:rPr>
          <w:b/>
        </w:rPr>
        <w:t>E. 14</w:t>
      </w:r>
    </w:p>
    <w:p>
      <w:r>
        <w:t>Quel est le contexte social ? Mme A______ peut-elle compter sur le soutien de ses proches ?</w:t>
      </w:r>
    </w:p>
    <w:p>
      <w:r>
        <w:rPr>
          <w:b/>
        </w:rPr>
        <w:t>E. 15</w:t>
      </w:r>
    </w:p>
    <w:p>
      <w:r>
        <w:t>Dans l’ensemble, le comportement de l’expertisée vous semble-t-il cohérent ?</w:t>
      </w:r>
    </w:p>
    <w:p>
      <w:r>
        <w:rPr>
          <w:b/>
        </w:rPr>
        <w:t>E. 16</w:t>
      </w:r>
    </w:p>
    <w:p>
      <w:r>
        <w:t>En fonction des différents indicateurs retenus par le Tribunal fédéral, considérez-vous que la recourante dispose des ressources nécessaires pour surmonter la fibromyalgie et les autres douleurs non objectivables ?</w:t>
      </w:r>
    </w:p>
    <w:p>
      <w:r>
        <w:rPr>
          <w:b/>
        </w:rPr>
        <w:t>E. 17</w:t>
      </w:r>
    </w:p>
    <w:p>
      <w:r>
        <w:t>Quelle est la capacité de travail de la recourante en tenant compte des éventuelles atteintes psychiatriques diagnostiquées et de la fibromyalgie, compte tenu de la nouvelle jurisprudence du Tribunal</w:t>
      </w:r>
    </w:p>
    <w:p>
      <w:r>
        <w:t>- 15/15-</w:t>
      </w:r>
    </w:p>
    <w:p>
      <w:r>
        <w:t>A/3437/2014 fédéral en matière de trouble somatoforme douloureux persistant et des affections y assimilées?</w:t>
      </w:r>
    </w:p>
    <w:p>
      <w:r>
        <w:rPr>
          <w:b/>
        </w:rPr>
        <w:t>E. 18</w:t>
      </w:r>
    </w:p>
    <w:p>
      <w:r>
        <w:t>Quel est votre pronostic ?</w:t>
      </w:r>
    </w:p>
    <w:p>
      <w:r>
        <w:t>D. Invite le Dr Q_______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