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ATAS/983/2013 vom 8. Oktober 2013</w:t>
      </w:r>
    </w:p>
    <w:p>
      <w:r>
        <w:t>GE Cour de justice, 2013-10-08, FR</w:t>
      </w:r>
    </w:p>
    <w:p>
      <w:r>
        <w:rPr>
          <w:b/>
        </w:rPr>
        <w:t xml:space="preserve">Quelle: </w:t>
      </w:r>
      <w:r>
        <w:t>https://mcp.opencaselaw.ch/entscheid/ge_gerichte_ATAS_983_2013</w:t>
      </w:r>
    </w:p>
    <w:p>
      <w:r>
        <w:t>FR: GE_GERICHTE ATAS/983/2013 du 8 octobre 2013</w:t>
      </w:r>
    </w:p>
    <w:p>
      <w:r>
        <w:t>IT: GE_GERICHTE ATAS/983/2013 del 8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w:t>
      </w:r>
    </w:p>
    <w:p>
      <w:r>
        <w:t>A/1787/2013 - 11/18 -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2002, et, après le 1er janvier 2003,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Conformément à l’art. 30 LPGA, tous les organes de mise en œuvre des assurances sociales ont l’obligation d’accepter les demandes, requêtes ou autres documents qui leur parviennent par erreur. Ils en enregistrent la date de réception et les transmettent à l’organe compétent. L’art. 39 LPGA prévoit, d’une part, que les écrits doivent être remis au plus tard le dernier jour du délai à l’assureur ou, à son adresse, à La Poste suisse ou à une représentation diplomatique ou consulaire suisse (al. 1), et d’autre part, que lorsqu’une partie s’adresse en temps utile à un assureur incompétent, le délai est réputé observé (al. 2). En l'espèce, la décision du 25 avril 2013 a été rendue bien après l'expiration du délai de 30 jours imparti par l'intimé pour apporter d'éventuelles objections au projet de décision du 10 septembre 2012. C’est donc à juste titre que l’OAI a transmis à la Cour de céans le recours du 29 mai 2013, qui lui avait été adressé par erreur par le recourant. Le recourant a reçu la décision du 25 avril le 29 avril 2013. En postant son recours le 29 mai 2013, il a agi en temps utile (art. 60 al. 1 LPGA). Bien que succinct, l’acte du recourant permet de comprendre quelle est la décision attaquée, expose tout de même les faits et les motifs de son désaccord. L’on comprend par ailleurs qu’il demande l’annulation de la décision litigieuse, malgré l'emploi inapproprié du terme "réviser", ce dernier étant réservé aux décisions formellement passées en force (cf. art. 53 al. 1 LPGA), ce qui n'est pas le cas en l'espèce. Ainsi, les conditions prévues par les art. 56 et ss LPGA, notamment l’art. 61 lit. b LPGA sont réalisées.</w:t>
      </w:r>
    </w:p>
    <w:p>
      <w:r>
        <w:t>A/1787/2013 - 12/18 - Le recours est ainsi recevable.</w:t>
      </w:r>
    </w:p>
    <w:p>
      <w:r>
        <w:rPr>
          <w:b/>
        </w:rPr>
        <w:t>E. 4</w:t>
      </w:r>
    </w:p>
    <w:p>
      <w:r>
        <w:t>Est litigieuse en l'espèce la question de savoir si les atteintes à la santé du recourant entraînent une perte de gain susceptible de lui conférer un droit à des prestations de l'assurance-invalidité.</w:t>
      </w:r>
    </w:p>
    <w:p>
      <w:r>
        <w:rPr>
          <w:b/>
        </w:rPr>
        <w:t>E. 5</w:t>
      </w:r>
    </w:p>
    <w:p>
      <w:r>
        <w:t>a) Lorsqu’une nouvelle demande est déposée, celle-ci doit établir de façon plausible que l’invalidité, l’impotence ou l’étendue du besoin de soins découlant de l’invalidité de l’assuré s’est modifiée de manière à influencer ses droits (art. 87 al.2 et 3 RAI). En cas d’entrée en matière sur une nouvelle demande après un refus de prestations (art. 87 al. 4 RAI), l'administration doit instruire la cause et déterminer si la situation de fait s'est modifiée de manière à influencer les droits de l'assuré. En cas de recours, le juge est tenu d'effectuer le même examen quant au fond (ATF 130 V 64 consid. 2 et les arrêts cités). b)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(ATF non publié 9C 1012/2008 du 30 juin 2009).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c) En l'espèce, la Cour de céans constate que lors de sa première demande de prestations, l'instruction médicale du dossier a été abandonnée alors qu'une réactualisation des données médicales était à l'ordre du jour. Il sied également de relever qu'un examen matériel du droit aux prestations avec une constatation des faits pertinents ainsi qu'une appréciation des preuves n'ont pas été effectués. C'est sur ces bases, en axant son argumentation sur la clause d'assurance (art. 6 al. 2 LAI), que l'intimé a rejeté la demande par décision du 10 janvier 2003 confirmée par décision sur opposition du 20 décembre 2005. Ainsi, cette dernière ne saurait constituer le point de départ temporel pour l'examen de la nouvelle demande déposée par le recourant en date du 29 mars 2009. Partant, celle-ci doit être examinée comme s'il s'agissait d'une première demande de prestations.</w:t>
      </w:r>
    </w:p>
    <w:p>
      <w:r>
        <w:t>A/1787/2013 - 13/18 -</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Les atteintes à la santé psychique peuvent, comme les atteintes physiques, entraîner une invalidité au sens de l'art. 4 al. 1 LAI en relation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rPr>
          <w:b/>
        </w:rPr>
        <w:t>E. 8</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w:t>
      </w:r>
    </w:p>
    <w:p>
      <w:r>
        <w:t>A/1787/2013 - 14/18 -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w:t>
      </w:r>
    </w:p>
    <w:p>
      <w:r>
        <w:rPr>
          <w:b/>
        </w:rPr>
        <w:t>E. 9</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10</w:t>
      </w:r>
    </w:p>
    <w:p>
      <w:r>
        <w:t>Selon le principe de libre appréciation des preuves, pleinement valable en procédure judiciaire de recours dans le domaine des assurances sociales (cf. art. 61</w:t>
      </w:r>
    </w:p>
    <w:p>
      <w:r>
        <w:t>A/1787/2013 - 15/18 -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A/1787/2013 - 16/18 -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le recourant reproche à l'intimé une instruction lacunaire. Sans remettre en cause l'expertise du BREM réalisée le 29 juin 2012, il soutient qu'il aurait fallu tenir compte des deux interventions médicales qu'il a subies après la réalisation de cette expertise, soit le 2 août 2012, respectivement le 11 mars 2013. À titre liminaire, il y a lieu de relever que le rapport d'expertise des Dresses H__________ et I__________ se fonde sur une anamnèse détaillée, un examen clinique approfondi du recourant et qu'il tient compte des plaintes de celui-ci. Ce rapport a été établi en pleine connaissance du dossier et ses conclusions, dûment motivées, ne laissent apparaître aucune contradiction. Bien que postérieures à l'expertise, les interventions médicales du 2 août 2012 et du 11 mars 2013 ont été néanmoins envisagées par les expertes. Elles ont précisé à cet égard que si une intervention était réalisée au niveau des tendons péroniers, il en résulterait une incapacité de travail temporaire, mais non définitive. En examinant les pièces produites par le recourant à l'appui de son courrier du 21 mai 2013, en particulier la lettre de sortie des HUG du 20 mars 2013, il apparaît que les suites post-opératoires de l'intervention du 11 mars 2013 ont été favorables, que le patient a débuté une rééducation à la marche et qu'il a pu rentrer à son domicile le</w:t>
      </w:r>
    </w:p>
    <w:p>
      <w:r>
        <w:rPr>
          <w:b/>
        </w:rPr>
        <w:t>E. 14</w:t>
      </w:r>
    </w:p>
    <w:p>
      <w:r>
        <w:t>mars 2013 en bénéficiant d'un arrêt de travail à 100% du 11 mars 2013 au 25 avril 2013 inclus, soit 46 jours au total, ce qui confirme le caractère temporaire de l'incapacité de travail mentionné par les expertes. Le fait qu'une attestation du Dr A__________, datée du 21 mai 2013, mentionne une affection chirurgicale de la cheville gauche, non encore guérie, ne remet pas non plus en question leur appréciation. Il en va de même de l'attestation d'un rendez-vous médical pour un contrôle radio-clinique en date du 29 mai 2013 ou de clichés de la jambe gauche, datés du 7 mai 2013 et non commentés. S'agissant de l'incapacité de travail attestée dans divers rapports émanant des médecins-traitants du recourant, il convient de relever que ces rapports ne précisent pas de manière systématique le point de départ de cette incapacité ou son ampleur exacte. Ainsi, le rapport intermédiaire du Dr A__________ du 7 juin 2011 fait état d'une capacité de travail supérieure à 50% dans une activité purement sédentaire, tout en laissant entrevoir une forte amélioration si l'intervention chirurgicale au niveau des tendons péroniers – qui n'avait pas encore eu lieu à ce moment – était effectuée. D'avis différent, le Dr F__________, du département de chirurgie des HUG, précise dans son rapport du 7 octobre 2011 à l'OAI n'avoir prescrit aucun arrêt de travail au recourant. Ainsi, le SMR relève de manière convaincante dans</w:t>
      </w:r>
    </w:p>
    <w:p>
      <w:r>
        <w:t>A/1787/2013 - 17/18 - son avis du 29 novembre 2011 – antérieur à l'expertise diligentée par le BREM – qu'il ne disposait pas, en l'état, d'informations exploitables permettant d'établir la capacité de travail résiduelle. À la lumière de ces éléments, on ne saurait affirmer que les rapports des médecins traitants permettent de remettre en cause les conclusions des expertes, ce d'autant moins qu'elles reprochent aux médecins traitants d'avoir délivré des arrêts de travail en se fondant principalement sur les plaintes du recourant et sans analyser de manière détaillée ses affections. Évoquant la question des limitations fonctionnelles, les expertes du BREM rapportent qu'il n'y a pas de limitation au plan physique, toute activité ne nécessitant pas la position à genoux ou accroupie, ou sur un chantier (échelle, échafaudages, terrain instable) est exigible. En cela, les limitations retenues concordent avec celles retenues par le Dr A__________ dans son rapport du 8 octobre 2009. Rien ne permet ainsi de s'écarter des conclusions du rapport d'expertise, qui doit se voir reconnaître pleine valeur probante. C'est donc à juste titre que l'intimé, sur la base de cette expertise, a nié le droit à toute prestation d'assurance en tenant compte d'une capacité de travail à 100% dans une activité adaptée aux limitations fonctionnelles du recourant. 13. Compte tenu de ce qui précède, le recours sera rejeté. La procédure n'étant plus gratuite depuis le 1er juillet 2006 (art. 69 al. 1bis LAI), il y a lieu de condamner le recourant au paiement d'un émolument de 200 fr.</w:t>
      </w:r>
    </w:p>
    <w:p>
      <w:r>
        <w:t>A/1787/2013 - 18/18 -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