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ATAS/982/2022 vom 10. November 2022</w:t>
      </w:r>
    </w:p>
    <w:p>
      <w:r>
        <w:t>GE Cour de justice, 2022-11-10, FR</w:t>
      </w:r>
    </w:p>
    <w:p>
      <w:r>
        <w:rPr>
          <w:b/>
        </w:rPr>
        <w:t xml:space="preserve">Quelle: </w:t>
      </w:r>
      <w:r>
        <w:t>https://mcp.opencaselaw.ch/entscheid/ge_gerichte_ATAS_982_2022</w:t>
      </w:r>
    </w:p>
    <w:p>
      <w:r>
        <w:t>FR: GE_GERICHTE ATAS/982/2022 du 10 novembre 2022</w:t>
      </w:r>
    </w:p>
    <w:p>
      <w:r>
        <w:t>IT: GE_GERICHTE ATAS/982/2022 del 10 novembre 2022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décembre 1968 (PA - RS 172.021) ; que l’intimé peut donc reconsidérer sa décision postérieurement à son préavis, dans le cadre d’un échange d’écritures ordonné par la chambre de céans ; Que la chambre de céans constate qu’à teneur du dossier, le renvoi à l’OAI afin d’ordonner une expertise bi-disciplinaire se justifie et est conforme au droit ; que le respect du principe de la célérité ne s’y oppose pas ;</w:t>
      </w:r>
    </w:p>
    <w:p>
      <w:r>
        <w:t>A/3238/2022 - 3/4 - Qu’il convient d’en prendre acte et de renvoyer le dossier à l’intimé afin qu’il reprenne l’instruction médicale du cas de l’assurée et rende une nouvelle décision ; Que la recourante n’étant pas représentée par un avocat et n’ayant pas allégué ou démontré avoir déployé des efforts dépassant la mesure de ce que tout un chacun consacre à la gestion courante de ses affaires, n'a pas droit à des dépens ; Que par ailleurs, au vu de la décision de l’OAI, la chambre de céans renoncera à le condamner aux frais.</w:t>
      </w:r>
    </w:p>
    <w:p>
      <w:r>
        <w:t>A/3238/2022 - 4/4 -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