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ATAS/982/2021 vom 16. September 2021</w:t>
      </w:r>
    </w:p>
    <w:p>
      <w:r>
        <w:t>GE Cour de justice, 2021-09-16, FR</w:t>
      </w:r>
    </w:p>
    <w:p>
      <w:r>
        <w:rPr>
          <w:b/>
        </w:rPr>
        <w:t xml:space="preserve">Quelle: </w:t>
      </w:r>
      <w:r>
        <w:t>https://mcp.opencaselaw.ch/entscheid/ge_gerichte_ATAS_982_2021</w:t>
      </w:r>
    </w:p>
    <w:p>
      <w:r>
        <w:t>FR: GE_GERICHTE ATAS/982/2021 du 16 septembre 2021</w:t>
      </w:r>
    </w:p>
    <w:p>
      <w:r>
        <w:t>IT: GE_GERICHTE ATAS/982/2021 del 16 settembre 2021</w:t>
      </w:r>
    </w:p>
    <w:p>
      <w:pPr>
        <w:pStyle w:val="Heading2"/>
      </w:pPr>
      <w:r>
        <w:t>Erwägungen</w:t>
      </w:r>
    </w:p>
    <w:p>
      <w:r>
        <w:rPr>
          <w:b/>
        </w:rPr>
        <w:t>E. 8</w:t>
      </w:r>
    </w:p>
    <w:p>
      <w:r>
        <w:t>En l'espèce, l'intimé a jugé la recourante totalement inapte au placement du 19 mai au 20 juillet 2020 compris et apte au placement dès le lendemain – date à laquelle ont été établies les attestations de garde fournies par l'intéressée. En l’occurrence, on relèvera d'emblée que la recourante n’a jamais donné à douter, par son comportement, de son aptitude au placement. Ainsi, non seulement elle a toujours rempli à satisfaction ses obligations envers l’assurance-chômage, mais qui plus est, elle a par le passé travaillé sans problème à 80% et ce, durant plusieurs années et alors que ses enfants étaient plus jeunes. Or, ce n’est que si des doutes évidents apparaissent quant à la volonté ou à la possibilité de la personne assurée de confier la garde de ses enfants à un tiers ou à une institution que l'organe compétent doit alors examiner l'aptitude au placement sous l'angle des possibilités concrètes relatives à la garde des enfants. Tel n’était pas le cas en l’occurrence. Certes, l'assurée s'est ouverte auprès de son conseiller de son inquiétude liée au fait que l'un de ses enfants était "à risque" et devait absolument éviter d'être contaminé. Cela ne signifiait pas pour autant qu'elle n'aurait pu trouver une solution si un poste lui avait concrètement été proposé. S'il est vrai que sa compagne avait repris son travail, il n'en demeurait pas moins que les grands-parents des enfants étaient disponibles, comme ils l'avaient déjà été par le passé, depuis le 15 juin 2020 – date de réouverture des frontières. Ne restait donc plus qu'une période de moins d'un mois à couvrir - du 20 mai au 15 juin 2020 -, ce qui n'aurait pas été insurmontable. Dans ces conditions et au vu du fait, déjà souligné précédemment, que la recourante n'a jamais adopté aucun comportement fautif permettant de douter de son aptitude au placement précédemment, elle aurait dû bénéficier de la présomption selon laquelle elle était apte à exercer un emploi, ce d'autant plus qu'elle a déjà prouvé, avant son arrivée au chômage, sa volonté et sa capacité d'occuper un emploi malgré ses obligations familiales et qu'elle n'a pas dû quitter son emploi précédent par sa propre faute. Dans ces conditions, c'est à tort que l'intimé a conclu à une inaptitude au placement du 19 mai au 20 juillet 2020.</w:t>
      </w:r>
    </w:p>
    <w:p>
      <w:r>
        <w:t>A/3221/2020 - 8/8 -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