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ATAS/982/2019 vom 28. Oktober 2019</w:t>
      </w:r>
    </w:p>
    <w:p>
      <w:r>
        <w:t>GE Cour de justice, 2019-10-28, FR</w:t>
      </w:r>
    </w:p>
    <w:p>
      <w:r>
        <w:rPr>
          <w:b/>
        </w:rPr>
        <w:t xml:space="preserve">Quelle: </w:t>
      </w:r>
      <w:r>
        <w:t>https://mcp.opencaselaw.ch/entscheid/ge_gerichte_ATAS_982_2019</w:t>
      </w:r>
    </w:p>
    <w:p>
      <w:r>
        <w:t>FR: GE_GERICHTE ATAS/982/2019 du 28 octobre 2019</w:t>
      </w:r>
    </w:p>
    <w:p>
      <w:r>
        <w:t>IT: GE_GERICHTE ATAS/982/2019 del 28 ottobre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w:t>
      </w:r>
    </w:p>
    <w:p>
      <w:r>
        <w:t>A/733/2019 - 14/24 -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ATF 127 V 467 consid. 1 et les références). Ainsi, dès lors que les périodes de cotisations pertinentes et la décision litigieuse sont postérieures au 1er janvier 2003, le cas d'espèce est régi par le nouveau droit.</w:t>
      </w:r>
    </w:p>
    <w:p>
      <w:r>
        <w:rPr>
          <w:b/>
        </w:rPr>
        <w:t>E. 3</w:t>
      </w:r>
    </w:p>
    <w:p>
      <w:r>
        <w:t>Le délai de recours est de trente jours (art. 56 LPGA; art. 62 al. 1 de la de loi sur la procédure administrative du 12 septembre 1985 [LPA - E 5 10]). Déposé le 25 février 2019 contre la décision litigieuse du 23 janvier 2019, reçue par la recourante le 25 janvier 2019, le recours a été interjeté en temps utile  le délai de recours, expirant en l’occurrence le dimanche 24 février 2019, était reporté au lundi 25 février 2019 (art. 38 al. 3 LPGA). Le recours satisfait, en outre, aux exigences de forme et de contenu prévues par l’art. 61 let. b LPGA. Le présent recours sera donc déclaré recevable.</w:t>
      </w:r>
    </w:p>
    <w:p>
      <w:r>
        <w:rPr>
          <w:b/>
        </w:rPr>
        <w:t>E. 4</w:t>
      </w:r>
    </w:p>
    <w:p>
      <w:r>
        <w:t>Le litige porte sur la responsabilité de la recourante dans le préjudice causé à l’intimée, par le défaut de paiement des cotisations sociales (AVS-AI-APG et AC ainsi qu’AMat et AF) entre 1er octobre 2013 et le 31 janvier 2015, frais et intérêts moratoires compris.</w:t>
      </w:r>
    </w:p>
    <w:p>
      <w:r>
        <w:rPr>
          <w:b/>
        </w:rPr>
        <w:t>E. 5</w:t>
      </w:r>
    </w:p>
    <w:p>
      <w:r>
        <w:t>a.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w:t>
      </w:r>
    </w:p>
    <w:p>
      <w:r>
        <w:t>A/733/2019 - 15/24 -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depuis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w:t>
      </w:r>
    </w:p>
    <w:p>
      <w:r>
        <w:rPr>
          <w:b/>
        </w:rPr>
        <w:t>E. 6</w:t>
      </w:r>
    </w:p>
    <w:p>
      <w:r>
        <w:t>À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w:t>
      </w:r>
    </w:p>
    <w:p>
      <w:r>
        <w:t>A/733/2019 - 16/24 - sommation et les frais de poursuite (Directives sur la perception des cotisations  DP, ch. 8017).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cinq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w:t>
      </w:r>
    </w:p>
    <w:p>
      <w:r>
        <w:t>A/733/2019 - 17/24 -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7</w:t>
      </w:r>
    </w:p>
    <w:p>
      <w:r>
        <w:t>En l’espèce, le dies a quo du délai de prescription de deux ans dès la connaissance du dommage a commencé à courir, au plus tôt, au moment de la délivrance des actes de défaut de biens (en dehors de la faillite de la société) entre octobre 2015 et février 2016, qui se rapportent aux cotisations paritaires impayées pour la période litigieuse d’octobre 2013 à janvier 2015. Ce n’est en effet qu’à réception de ces documents entre octobre 2015 et février 2016 que l’intimée pouvait savoir qu’elle ne recouvrirait pas les cotisations en souffrance. La prescription n’était donc pas acquise le 31 août 2017, date de la décision en réparation du dommage.</w:t>
      </w:r>
    </w:p>
    <w:p>
      <w:r>
        <w:rPr>
          <w:b/>
        </w:rPr>
        <w:t>E. 8</w:t>
      </w:r>
    </w:p>
    <w:p>
      <w:r>
        <w:t>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w:t>
      </w:r>
    </w:p>
    <w:p>
      <w:r>
        <w:rPr>
          <w:b/>
        </w:rPr>
        <w:t>E. 9</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t>A/733/2019 - 18/24 -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w:t>
      </w:r>
    </w:p>
    <w:p>
      <w:r>
        <w:rPr>
          <w:b/>
        </w:rPr>
        <w:t>E. 10</w:t>
      </w:r>
    </w:p>
    <w:p>
      <w:r>
        <w:t>En l’espèce, la recourante était inscrite au registre du commerce en qualité d’administratrice de la société, au bénéfice d’une signature individuelle, du</w:t>
      </w:r>
    </w:p>
    <w:p>
      <w:r>
        <w:rPr>
          <w:b/>
        </w:rPr>
        <w:t>E. 11</w:t>
      </w:r>
    </w:p>
    <w:p>
      <w:r>
        <w:t>La recourante revêtant la qualité d’organe formel, il convient maintenant de déterminer si elle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w:t>
      </w:r>
    </w:p>
    <w:p>
      <w:r>
        <w:t>A/733/2019 - 19/24 -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w:t>
      </w:r>
    </w:p>
    <w:p>
      <w:r>
        <w:rPr>
          <w:b/>
        </w:rPr>
        <w:t>E. 16</w:t>
      </w:r>
    </w:p>
    <w:p>
      <w:r>
        <w:t>Au vu de ce qui précède, le recours, mal fondé, sera rejeté. Pour le surplus, la procédure est gratuite (art. 61 let. a LPGA).</w:t>
      </w:r>
    </w:p>
    <w:p>
      <w:r>
        <w:t>A/733/2019 - 24/24 -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