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ATAS/982/2008 vom 5. Mai 2008</w:t>
      </w:r>
    </w:p>
    <w:p>
      <w:r>
        <w:t>GE Cour de justice, 2008-05-05, FR</w:t>
      </w:r>
    </w:p>
    <w:p>
      <w:r>
        <w:rPr>
          <w:b/>
        </w:rPr>
        <w:t xml:space="preserve">Quelle: </w:t>
      </w:r>
      <w:r>
        <w:t>https://mcp.opencaselaw.ch/entscheid/ge_gerichte_ATAS_982_2008</w:t>
      </w:r>
    </w:p>
    <w:p>
      <w:r>
        <w:t>FR: GE_GERICHTE ATAS/982/2008 du 5 mai 2008</w:t>
      </w:r>
    </w:p>
    <w:p>
      <w:r>
        <w:t>IT: GE_GERICHTE ATAS/982/2008 del 5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Le recours interjeté dans les forme et délai prévus par la loi, est recevable (art. 56 à 60 LPGA).</w:t>
      </w:r>
    </w:p>
    <w:p>
      <w:r>
        <w:rPr>
          <w:b/>
        </w:rPr>
        <w:t>E. 3</w:t>
      </w:r>
    </w:p>
    <w:p>
      <w:r>
        <w:t>Le litige porte sur la question de savoir si l'OCE a suspendu valablement le droit de la recourante à l'indemnité de chômage pour une durée de 3 jours, pour recherches nulles au mois de mars 2008.</w:t>
      </w:r>
    </w:p>
    <w:p>
      <w:r>
        <w:rPr>
          <w:b/>
        </w:rPr>
        <w:t>E. 4</w:t>
      </w:r>
    </w:p>
    <w:p>
      <w:r>
        <w:t>On rappellera préalablement que selon l'art.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du SECO relative à l'indemnité de chômage (IC), janvier 2003, B226). S'il ne remplit pas ces exigences, son droit à l'indemnité est suspendu en application de l'art.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SECO a précisé que pour que l'ORP puisse procéder au contrôle mensuel des efforts de l'assuré pour retrouver un emploi, il devra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w:t>
      </w:r>
    </w:p>
    <w:p>
      <w:r>
        <w:t>A/2589/2008 - 5/7 -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 2bis OACI, Circulaire IC, B 235a §2). Par ailleurs, le SECO a établi une échelle des suspensions à l'intention des offices. Des efforts insuffisants dans la recherche d'un emploi pendant la période de contrôle sont sanctionnés la première fois à raison de 3 à 4 jours. De même, l'absence de toute recherche d'emplois pendant la période de contrôle est sanctionnée la première fois de 5 à 9 jours (Directives D72).</w:t>
      </w:r>
    </w:p>
    <w:p>
      <w:r>
        <w:rPr>
          <w:b/>
        </w:rPr>
        <w:t>E. 5</w:t>
      </w:r>
    </w:p>
    <w:p>
      <w:r>
        <w:t>Il faut rappeler également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le fardeau de la preuve de la notification d'un acte et de sa date incombe en principe à celui qui entend en tirer une conséquence juridique (ATF 124 V 402).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La preuve de la notification d'un acte peut néanmoins résulter d'autres indices et de l'ensemble des circonstances, en particulier, de la correspondance échangée (ATF 105 III 46).</w:t>
      </w:r>
    </w:p>
    <w:p>
      <w:r>
        <w:rPr>
          <w:b/>
        </w:rPr>
        <w:t>E. 6</w:t>
      </w:r>
    </w:p>
    <w:p>
      <w:r>
        <w:t>En l'occurrence, la recourante indique avoir envoyé sa feuille de recherches le dernier jour du délai, en présence d'un témoin. Toutefois, cette feuille de recherches n'est jamais parvenue à l'OCE. Un courrier a informé la recourante de ce manquement et lui a fixé un dernier délai pour déposer sa feuille de recherches. Plutôt que de considérer que les courriers avaient dû se croiser, la recourante devait faire en sorte que l'OCE soit bien en possession de la feuille de recherches litigieuse et par exemple en renvoyer une copie. Elle supporte en effet l'absence de preuve de son envoi. À noter que la présence d'un témoin ne change rien à l'affaire. Quand</w:t>
      </w:r>
    </w:p>
    <w:p>
      <w:r>
        <w:t>A/2589/2008 - 6/7 - bien même celui-ci confirmerait, sous serment, les déclarations de la recourante, il n'en resterait pas moins qu'il était exigible d'elle qu'elle s'assure de la bonne réception de ce courrier par l'OCE vu le courrier de rappel qui lui a été adressé. Quant à la durée de la sanction, elle est inférieure à ce qu'elle pourrait être au vu des directives susmentionnées, et de l'attitude générale de la recourante qui ne permet pas de considérer le dépôt tardif de la feuille de recherches comme un événement isolé, exceptionnel. Le Tribunal pourrait, vu ce qui précède, réformer la décision au détriment de la recourante. En effet, d’après les art. 61 let. d LPGA et 89E LPA, le Tribunal peut, indépendamment des conclusions des parties, réformer la décision attaquée au détriment ou en faveur du recourant, après avoir donné aux parties l’occasion de se prononcer ou de retirer le recours. Il ne s'agit toutefois que d'une faculté donnée au juge, à laquelle il peut renoncer à faire usage au vu de l'ensemble des circonstances (ATF 119 V 241 consid. 5; ATFA non publié du 2 juin 2003, C 119/02, consid. 4). En l'occurrence, il y sera renoncé, au vu de la situation difficile exposée par la recourante. Vu ce qui précède, le recours est rejeté.</w:t>
      </w:r>
    </w:p>
    <w:p>
      <w:r>
        <w:t>A/2589/2008 - 7/7 -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