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ATAS/981/2018 vom 30. Oktober 2018</w:t>
      </w:r>
    </w:p>
    <w:p>
      <w:r>
        <w:t>GE Cour de justice, 2018-10-30, FR</w:t>
      </w:r>
    </w:p>
    <w:p>
      <w:r>
        <w:rPr>
          <w:b/>
        </w:rPr>
        <w:t xml:space="preserve">Quelle: </w:t>
      </w:r>
      <w:r>
        <w:t>https://mcp.opencaselaw.ch/entscheid/ge_gerichte_ATAS_981_2018</w:t>
      </w:r>
    </w:p>
    <w:p>
      <w:r>
        <w:t>FR: GE_GERICHTE ATAS/981/2018 du 30 octobre 2018</w:t>
      </w:r>
    </w:p>
    <w:p>
      <w:r>
        <w:t>IT: GE_GERICHTE ATAS/981/2018 del 30 ottobre 2018</w:t>
      </w:r>
    </w:p>
    <w:p>
      <w:pPr>
        <w:pStyle w:val="Heading2"/>
      </w:pPr>
      <w:r>
        <w:t>Erwägungen</w:t>
      </w:r>
    </w:p>
    <w:p>
      <w:r>
        <w:rPr>
          <w:b/>
        </w:rPr>
        <w:t>E. 1</w:t>
      </w:r>
    </w:p>
    <w:p>
      <w:r>
        <w:t>Dans l’ordonnance d’expertise du 16 janvier 2018, la chambre de céans a déjà tranché les questions de sa compétence, de la recevabilité du recours, du droit applicable et de l’objet du litige, de sorte qu’il n’y a pas lieu de revenir sur ces points.</w:t>
      </w:r>
    </w:p>
    <w:p>
      <w:r>
        <w:rPr>
          <w:b/>
        </w:rPr>
        <w:t>E. 2</w:t>
      </w:r>
    </w:p>
    <w:p>
      <w:r>
        <w:t>Aux termes de l'art. 6 al. 1 de la loi fédérale sur l'assurance-accidents du 20 mars 1981 (LAA - RS 832.20), si la loi n'en dispose pas autrement, les prestations d'assurance sont allouées en cas d'accident professionnel, d'accident non professionnel et de maladie professionnelle. Selon l'art. 4 de la loi fédérale sur la partie générale du droit des assurances sociales du 6 octobre 2000 (LPGA - RS 830.1),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 arrêt du Tribunal fédéral 8C_194/2015 du 11 août 2015 consid. 3).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w:t>
      </w:r>
    </w:p>
    <w:p>
      <w:r>
        <w:t>A/2255/2016 - 10/20 - événements et des situations que l'on peut, objectivement, qualifier de quotidiens ou d'habituels (ATF 129 V 402 consid. 2.1).</w:t>
      </w:r>
    </w:p>
    <w:p>
      <w:r>
        <w:rPr>
          <w:b/>
        </w:rPr>
        <w:t>E. 3</w:t>
      </w:r>
    </w:p>
    <w:p>
      <w:r>
        <w:t>a. Aux termes de l'art. 6 al. 2 LAA, le Conseil fédéral peut inclure dans l'assurance-accidents des lésions corporelles qui sont semblables aux conséquences d'un accident. En vertu de cette délégation de compétence, il a édicté l'art. 9 al. 2 de l’ordonnance sur l'assurance-accidents du 20 décembre 1982 (OLAA - RS 832.202). Selon celui-ci dans sa teneur en vigueur jusqu’au 31 décembre 2016, certaines lésions corporelles sont assimilées à un accident pour autant qu’elles ne soient pas manifestement imputables à une maladie ou à des phénomènes dégénératifs ;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D'après la jurisprudence, une déchirure de la coiffe des rotateurs est assimilée à une déchirure de tendons au sens de l'art. 9 al. 2 let. f OLAA (ATF 123 V 43). 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 arrêt du Tribunal fédéral 8C_662/2016, précité, consid. 4.2). c.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w:t>
      </w:r>
    </w:p>
    <w:p>
      <w:r>
        <w:rPr>
          <w:b/>
        </w:rPr>
        <w:t>E. 4</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A/2255/2016 - 11/20 -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Une causalité partielle suffit pour admettre l'existence d'un tel lien de causalité (ATF 117 V 360 consid. 4b in fine ; RAMA 1996 n° U 264 p. 287 ss consid. 3a).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5</w:t>
      </w:r>
    </w:p>
    <w:p>
      <w:r>
        <w:t>a. Une fois que le lien de causalité naturelle a été établi au degré de la vraisemblance prépondérante, l’obligation de prester de l’assureur cesse lorsque</w:t>
      </w:r>
    </w:p>
    <w:p>
      <w:r>
        <w:t>A/2255/2016 - 12/20 -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 arrêt du Tribunal fédéral 8C_441/2017 du 6 juin 2018 consid. 3.2).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On précisera qu'en ce qui concerne l'art. 9 al. 2 OLAA, on ne peut admettre qu'une lésion corporelle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À défaut, en effet, on se trouverait à nouveau confronté, immédiatement après avoir admis l'existence d'une lésion assimilée à un accident, à la difficulté de distinguer entre l'origine dégénérative ou accidentelle de cette lésion (cf. arrêts du Tribunal fédéral 8C_358/2015 du 14 mars 2016 consid. 6.2.1 et 8C_714/2013 du 23 juillet 2014 consid. 5.1.2). d.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A/2255/2016 - 13/20 - ne jouent plus de rôle et doivent ainsi être considérées comme ayant disparu (arrêt du Tribunal fédéral 8C_441/2017 du 6 juin 2018 consid. 3.3).</w:t>
      </w:r>
    </w:p>
    <w:p>
      <w:r>
        <w:rPr>
          <w:b/>
        </w:rPr>
        <w:t>E. 6</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w:t>
      </w:r>
    </w:p>
    <w:p>
      <w:r>
        <w:t>A/2255/2016 - 14/20 -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A/2255/2016 - 15/20 - violation du principe mentionné (arrêt du Tribunal fédéral 9C/973/2011 du 4 mai 2012 consid. 3.2.1).</w:t>
      </w:r>
    </w:p>
    <w:p>
      <w:r>
        <w:rPr>
          <w:b/>
        </w:rPr>
        <w:t>E. 7</w:t>
      </w:r>
    </w:p>
    <w:p>
      <w:r>
        <w:t>En l’espèce, dans son rapport d’expertise du 27 juillet 2018, le Dr G_______ retient que l’accident du 15 décembre 2012 a, au degré de la vraisemblance prépondérante, provoqué une rupture de la coiffe des rotateurs droite, plus exactement des tendons sus-épineux (ou supra-épineux) et sous-scapulaire. De plus, il a joué un rôle au moins partiel dans la survenance d’une lésion du long chef du biceps qui correspond à une lésion assimilée à un accident. Il précise que la recourante présente une atteinte antérieure dégénérative sous forme d’arthrose acromio-claviculaire droite qui n’est pas en relation de causalité probable avec l’accident du 15 décembre 2012. L’opération du 15 janvier 2014 a permis la réparation de la coiffe des rotateurs, la ténotomie et ténodèse du long chef du biceps, ainsi que la résection acromio-claviculaire. Quant à l’accident du 25 juin 2014, il n’a pas provoqué de nouvelles lésions, mais a réactivé les douleurs de la coiffe des rotateurs opérée et de l’articulation acromio-claviculaire opérée. Chacun des deux accidents est une cause partielle possible d’environ 20 % de l’arthrose acromio-claviculaire. Selon l’expert, le tableau clinique actuel résulte de l’atteinte acromio-claviculaire à raison d’environ 80 à 90 %. Du 30 juin 2015 au 6 mars 2016, le traitement de physiothérapie est au degré de la vraisemblance prépondérante en lien avec les deux accidents, puis après le 6 mars 2016, les troubles persistants sont dus à raison de 80 à 90 % à l’arthropathie acromio-claviculaire. Par conséquent, dès le 7 mars 2016, le traitement est en relation de manière prépondérante avec un état maladif préexistant. L’expert fait état des plaintes de la recourante qui consistent en douleurs à l’épaule droite, faibles au repos, plus importantes lors des mouvements actifs du bras, ayant tendance à irradier vers la nuque. Son examen clinique met en évidence une palpation douloureuse de l’ancienne articulation acromio-claviculaire et une irradiation douloureuse vers la nuque, soit des éléments qui lui permettent de retenir des suites d’une atteinte acromio-claviculaire. L’expert explique que l’existence d’une mobilité complète et d’une bonne force de la coiffe sont des éléments en faveur de séquelles minimes de la coiffe qui se manifestent par une légère douleur au passage de l’horizontale à l’élévation active contre résistance. Il se distancie des appréciations des Drs F_______ et D_______ au motif que ce dernier ne précise pas pour quelle raison les lésions du sous-scapulaire et du long chef du biceps seraient de nature dégénérative. De plus, sa détermination de l’atteinte du statu quo ante une année après la nouvelle chute est basée sur l’évolution observée habituellement après ce type de chirurgie et ne vaut pas pour le cas particulier de la recourante. S’agissant des prises de position du Dr F_______, il observe que la localisation de la rupture d’un tendon, soit le sus-épineux, ne peut pas donner d’indication sur son caractère dégénératif ou traumatique. En définitive, le Dr G_______ a répondu à toutes les questions posées dans l’ordonnance d’expertise, exécuté le mandat d’expertise sur la base d’un dossier</w:t>
      </w:r>
    </w:p>
    <w:p>
      <w:r>
        <w:t>A/2255/2016 - 16/20 - médical et radiologique complet, en prenant l’avis de la Dresse H_______ qui n’a toutefois pas pu donner les renseignements requis, procédé à un examen de la recourante et tenu compte de ses plaintes ainsi que de l’anamnèse. Il motive ses réponses et explique pourquoi il se distancie des appréciations des Drs D_______ et G_______. De plus, son rapport d’expertise ne contient ni contradictions, ni défauts manifestes. En outre, les conclusions de l’expertise du Dr G_______ concordent pour l’essentiel avec celles du Dr C_______, notamment en ce qui concerne l’étiologie des lésions et la part très majoritaire des douleurs actuelles imputables à la lésion acromio-claviculaire, voire quasi exclusive. Toutefois, contrairement à l’expert, le Dr C_______ considère que l’accident du 25 juin 2014 a décompensé la lésion de la coiffe des rotateurs, différence qui n’est cependant pas relevante quant à la part de la lésion de la coiffe des rotateurs dans les troubles actuels qui n’est que très minime pour les deux spécialistes. S’agissant des conclusions du Dr D_______ relatives au caractère dégénératif des lésions du sous-scapulaire et du long chef du biceps, elles reposent, selon son rapport du 8 juillet 2014, sur les lésions constatées à l’arthroscopie qu’il considère comme plus dégénératives que traumatiques au vu de la qualité tendineuse. Or, le Dr C_______ – qui a procédé à l’arthroscopie – précise dans son rapport du 24 février 2016 que la lésion du sous-scapulaire a été provoquée de manière certaine par l’accident du 15 décembre 2012 et que le rapport de causalité entre ledit accident et la lésion du long chef du biceps est probable. Par conséquent, les conclusions du Dr D_______ ne reposent pas sur des éléments objectifs qu’il a personnellement constatés, mais sur de simples suppositions, de sorte qu’elles n’ont pas de valeur probante. Au demeurant, il n’explique à aucun moment pourquoi la lésion du sous-scapulaire serait de nature dégénérative alors que celle du sus-épineux – qui fait également partie de la coiffe des rotateurs tout comme le sous-scapulaire –, est liée à l’accident du 15 décembre 2012. Quant à ses conclusions concernant l’atteinte du statu quo, elles sont contradictoires puisque dans son rapport du 30 septembre 2015, il fixe le statu quo sine à une année après le nouvel accident, soit au 25 juin 2015, puis dans son rapport du 25 mai 2016, il fixe le statu quo ante à une année après la réparation de la coiffe, soit au 15 janvier 2015, respectivement à une date antérieure à celle retenue dans son précédent rapport. Il motive son évaluation par le fait qu’un tel statu quo est atteint habituellement une année après une réparation d’une rupture fraîche d’un sus-épineux sans lésion dégénérative. Or, il s’agit d’une évolution reposant sur une prémisse erronée, à savoir le caractère dégénératif des lésions tendineuses, et de surcroît abstraite et théorique qui ne suffit pas à établir – au degré de la vraisemblance prépondérante – l’extinction du lien de causalité (cf. arrêt du Tribunal fédéral 8C_473/2017 du 21 février 2018 consid. 5). Par ailleurs, il n’examine à aucun moment si ces lésions sont assimilées à un accident alors qu’il s’agit de déchirures de tendons (cf. art. 6 al. 2 let. f. LAA), ni si, malgré le prétendu</w:t>
      </w:r>
    </w:p>
    <w:p>
      <w:r>
        <w:t>A/2255/2016 - 17/20 - caractère dégénératif des lésions tendineuses, la chute du 15 décembre 2012 a déclenché les symptômes dont souffre la recourante, respectivement si le caractère exclusivement dégénératif de l’atteinte à la santé est clairement établi. Par conséquent, ses rapports n’ont pas de valeur probante. Dès lors, le rapport d’expertise du Dr G_______ remplit toutes les conditions matérielles et formelles permettant de lui reconnaître une pleine valeur probante. Ainsi, la chambre de céans fera siennes les conclusions de l’expert judiciaire et retiendra que les lésions de la coiffe des rotateurs et du long chef du biceps sont en rapport de causalité avec l’accident du 15 décembre 2012, que la lésion acromio-claviculaire n’est pas en rapport de causalité avec ledit accident mais est préexistante, que l’accident du 25 juin 2014 a réactivé les douleurs de la coiffe des rotateurs et de l’articulation acromio-claviculaire opérée, enfin que le traitement de physiothérapie après le 30 juin 2015 et jusqu’au 6 mars 2016 est en lien hautement vraisemblable avec les deux accidents. En revanche, la mésothérapie n’est pas un traitement habituel en cas de lésions de la coiffe des rotateurs et du long chef du biceps. Au vu de ce qui précède, l’intimée n’était pas en droit de retenir un statu quo sine dès le 1er juillet 2015 en l’absence de troubles exclusivement en relation avec des lésions dégénératives dès cette date.</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Selon l'art. 21 al. 1 LAA, lorsque la rente a été fixée, les prestations pour soins et remboursement de frais (art. 10 à 13 LAA) sont accordées à son bénéficiaire notamment lorsqu'il a besoin de manière durable d'un traitement et de soins pour</w:t>
      </w:r>
    </w:p>
    <w:p>
      <w:r>
        <w:t>A/2255/2016 - 18/20 -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L’art. 19 al. 1 LAA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ou qu’une amélioration sensible ne puisse être envisagée dans un avenir incertain (arrêt du Tribunal fédéral des assurances U 305/03 du 31 août 2004 consid. 4.1).</w:t>
      </w:r>
    </w:p>
    <w:p>
      <w:r>
        <w:rPr>
          <w:b/>
        </w:rPr>
        <w:t>E. 9</w:t>
      </w:r>
    </w:p>
    <w:p>
      <w:r>
        <w:t>En l’espèce, aucune décision concernant le droit à la rente n’a été rendue de sorte que c’est au regard de l’art. 10 al. 1 LAA qu’il y a lieu de déterminer si la recourante a droit à la prise en charge des frais relatifs aux traitements médicaux. Eu égard aux conclusions de l’expertise, il incombe à l’intimée de continuer à prendre en charge les frais de traitement de la recourante du 1er juillet 2015 au 6 mars 2016, notamment de physiothérapie, à l’exception des frais de mésothérapie qui n’est pas un traitement habituel en cas de lésions de la coiffe des rotateurs et du long chef du biceps.</w:t>
      </w:r>
    </w:p>
    <w:p>
      <w:r>
        <w:rPr>
          <w:b/>
        </w:rPr>
        <w:t>E. 10</w:t>
      </w:r>
    </w:p>
    <w:p>
      <w:r>
        <w:t>Au vu de ce qui précède, le recours sera partiellement admis et la décision sur opposition du 7 juin 2016 sera annulée. La recourante obtenant gain de cause et étant représentée, une indemnité de CHF 3'000.- lui sera accordée à titre de participation à ses frais et dépens (art. 61 let. g LPGA ; art. 6 du règlement sur les frais, émoluments et indemnités en matière administrative du 30 juillet 1986 [RFPA - E 5 10.03]). Les frais de l’expertise judiciaire de CHF 8'000.-, selon la facture du 27 juillet 2018 du Dr G_______, sont mis à la charge de l’intimée. Dans ses arrêts antérieurs (notamment ATF 127 V 196), le Tribunal fédéral a rappelé la règle de la gratuité de la procédure devant le tribunal cantonal des assurances et son exception – témérité ou légèreté d'une partie au procès – prévues par le droit fédéral (art. 61 let. a LPGA). Puis, à l’ATF 137 V 210, en jugeant que l’expertise judiciaire est la règle au lieu du renvoi à l’administration pour instruction complémentaire, il a précisé que les coûts de l’expertise judiciaire peuvent être mis à la charge de l’assureur social lorsque les mesures d’instruction sont indispensables pour</w:t>
      </w:r>
    </w:p>
    <w:p>
      <w:r>
        <w:t>A/2255/2016 - 19/20 - l'appréciation du droit ou sont comprises dans les prestations octroyées après coup au sens de l’art. 45 al. 1 LPGA. (consid. 4.4.2). En l’espèce, après avoir constaté que les appréciations des divers médecins étaient contradictoires et qu’elle ne pouvait pas statuer en l’état sans procéder à un complément d’instruction, la chambre de céans a dû mettre en œuvre elle-même une expertise, conformément à la jurisprudence récente du Tribunal fédéral (ATF 137 V 210). Étant donné que l’intimée ne pouvait pas statuer sur opposition au vu de ces contradictions (cf. ATF 135 V 465 consid. 4), les coûts de l’expertise ordonnée doivent être mis à la charge de l’assureur (cf. art. 45 al. 1 LPGA). Pour le surplus, la procédure est gratuite (art. 61 let. a LPGA). * * * * * *</w:t>
      </w:r>
    </w:p>
    <w:p>
      <w:r>
        <w:t>A/2255/2016 - 20/20 -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