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ATAS/981/2015 vom 18. Dezember 2015</w:t>
      </w:r>
    </w:p>
    <w:p>
      <w:r>
        <w:t>GE Cour de justice, 2015-12-18, FR</w:t>
      </w:r>
    </w:p>
    <w:p>
      <w:r>
        <w:rPr>
          <w:b/>
        </w:rPr>
        <w:t xml:space="preserve">Quelle: </w:t>
      </w:r>
      <w:r>
        <w:t>https://mcp.opencaselaw.ch/entscheid/ge_gerichte_ATAS_981_2015</w:t>
      </w:r>
    </w:p>
    <w:p>
      <w:r>
        <w:t>FR: GE_GERICHTE ATAS/981/2015 du 18 décembre 2015</w:t>
      </w:r>
    </w:p>
    <w:p>
      <w:r>
        <w:t>IT: GE_GERICHTE ATAS/981/2015 del 18 dicembre 2015</w:t>
      </w:r>
    </w:p>
    <w:p>
      <w:pPr>
        <w:pStyle w:val="Heading2"/>
      </w:pPr>
      <w:r>
        <w:t>Erwägungen</w:t>
      </w:r>
    </w:p>
    <w:p>
      <w:r>
        <w:rPr>
          <w:b/>
        </w:rPr>
        <w:t>E. 1</w:t>
      </w:r>
    </w:p>
    <w:p>
      <w:r>
        <w:t>Conformément à l'art. 134 al. 1 let. a ch. 8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ainsi que des contestations prévues à l’art. 49 al. 3 de la loi en matière de chômage du 11 novembre 1983 (LMC – RS J 2 20), en matière de prestations complémentaires cantonales. Sa compétence pour juger du cas d’espèce est ainsi établie.</w:t>
      </w:r>
    </w:p>
    <w:p>
      <w:r>
        <w:rPr>
          <w:b/>
        </w:rPr>
        <w:t>E. 2</w:t>
      </w:r>
    </w:p>
    <w:p>
      <w:r>
        <w:t>La décision querellée a trait aux prestations cantonales complémentaires de chômage prévues par la LMC. Cette dernière ne contenant aucune norme de renvoi, la LPGA n’est pas applicable (cf. art. 1 et 2 LPGA).</w:t>
      </w:r>
    </w:p>
    <w:p>
      <w:r>
        <w:rPr>
          <w:b/>
        </w:rPr>
        <w:t>E. 3</w:t>
      </w:r>
    </w:p>
    <w:p>
      <w:r>
        <w:t>Interjeté dans les délai et forme prescrits par la loi, le recours est recevable (art. 49 al. 3 LMC et art. 89A ss de la loi de procédure administrative du 12 septembre 1985, LPA – E 5 10).</w:t>
      </w:r>
    </w:p>
    <w:p>
      <w:r>
        <w:rPr>
          <w:b/>
        </w:rPr>
        <w:t>E. 4</w:t>
      </w:r>
    </w:p>
    <w:p>
      <w:r>
        <w:t>Le litige porte sur la question de savoir si c’est à juste titre que l’intimé a considéré l’opposition de l’assuré comme irrecevable.</w:t>
      </w:r>
    </w:p>
    <w:p>
      <w:r>
        <w:rPr>
          <w:b/>
        </w:rPr>
        <w:t>E. 5</w:t>
      </w:r>
    </w:p>
    <w:p>
      <w:r>
        <w:t>Conformément à l’art. 49 al. 1 LMC, les décisions prises par les organes d'exécution de la loi fédérale et de la présente loi peuvent être attaquées, dans les 30 jours suivant leur notification, par la voie de l'opposition auprès de l'autorité qui les a rendues, à l'exception des décisions d'ordonnancement de la procédure. Les délais commencent à courir le lendemain de leur communication ou de l'événement qui les déclenche (art. 17 al. 1 LPA). Les délais en jours ou en mois fixés par la loi ou par l'autorité ne courent pas : a) du 7e jour avant Pâques au 7e jour après Pâques inclusivement; b) du 15 juillet au 15 août inclusivement; c) du 18 décembre au 2 janvier inclusivement (art.89C LPA).</w:t>
      </w:r>
    </w:p>
    <w:p>
      <w:r>
        <w:t>A/2940/2015 - 4/6 -</w:t>
      </w:r>
    </w:p>
    <w:p>
      <w:r>
        <w:rPr>
          <w:b/>
        </w:rPr>
        <w:t>E. 6</w:t>
      </w:r>
    </w:p>
    <w:p>
      <w:r>
        <w:t>Selon l’art. 16 al. 1 LPA, un délai fixé par la loi ne peut être prolongé. Les cas de force majeure sont réservés. En effet, la sécurité du droit exige que certains actes (essentiellement les recours) ne puissent plus être accomplis passé un certain laps de temps, un terme étant ainsi mis aux possibilités de contestation, de telle manière que les parties sachent avec certitude que l’acte qui est l’objet de la procédure est définitivement entré en force (Pierre MOOR, Droit administratif, vol. 2, Berne 1991, p. 181).</w:t>
      </w:r>
    </w:p>
    <w:p>
      <w:r>
        <w:rPr>
          <w:b/>
        </w:rPr>
        <w:t>E. 7</w:t>
      </w:r>
    </w:p>
    <w:p>
      <w:r>
        <w:t>Une restitution de délai peut cependant être accordée, de manière exceptionnelle, à condition que le requérant ou son mandataire ait été empêché, sans sa faute, d’agir dans le délai fixé et pour autant qu’une demande de restitution motivée, indiquant la nature de l’empêchement, soit présentée dans les dix jours à compter de celui où il a cessé et que l'acte omis ait été accompli dans le même délai (art. 16 al. 3 LPA). Il s’agit là de dispositions impératives auxquelles il ne peut être dérogé (Jurisprudence des autorités administratives de la Confédération [JAAC] 60/1996, consid. 5.4, p. 367 ; ATF 119 II 87 consid. 2a; ATF 112 V 256 consid. 2a).</w:t>
      </w:r>
    </w:p>
    <w:p>
      <w:r>
        <w:rPr>
          <w:b/>
        </w:rPr>
        <w:t>E. 8</w:t>
      </w:r>
    </w:p>
    <w:p>
      <w:r>
        <w:t>Par empêchement non fautif, il faut entendre aussi bien l'impossibilité objective ou la force majeure que l'impossibilité due à des circonstances personnelles ou une erreur excusables : ces circonstances doivent toutefois être appréciées objectivement; en définitive, il ne faut pas que l'on puisse reprocher au requérant une négligence (POUDRET, Commentaire de la loi fédérale d'organisation judiciaire ad. art. 35 OJ, n° 2.3sv ; KÖLZ/HÄNER, Verwaltungsverfahren und Verwaltungsrechtspflege des Bundes, n° 151).</w:t>
      </w:r>
    </w:p>
    <w:p>
      <w:r>
        <w:rPr>
          <w:b/>
        </w:rPr>
        <w:t>E. 9</w:t>
      </w:r>
    </w:p>
    <w:p>
      <w:r>
        <w:t>En l’espèce, le recourant ne conteste pas avoir formé opposition tardivement contre la décision du 4 décembre 2014, soit près de quatre mois après l’échéance du délai légal de trente jours. Il allègue n’avoir pas été en mesure de motiver son opposition avant de recevoir la décision de l’OAI le concernant, en date du 7 mai 2015 : son opposition à la décision du service des PCM dépendait en effet du type de rente d’invalidité qui lui serait accordée par l’OAI ; il n’aurait pas contesté la décision du service des PCM, si l’OAI lui avait octroyé une rente entière d’invalidité. Cet argument ne peut être retenu. En effet, la problématique des prestations complémentaires cantonales de chômage est indépendante de celle de l’octroi d’une rente d’invalidité. La suppression de la potentielle surindemnisation, qui pourrait résulter du versement cumulé de PCM et d’une rente d’invalidité complète, n’est d’ailleurs pas du ressort des assurés mais des caisses. Au vu de ce qui précède, le recourant aurait dû, pour sauvegarder ses droits, former opposition dans le délai légal clairement indiqué dans la décision du 4 décembre 2014 et invoquer, à cette occasion, l’argument dont il s’est prévalu dans son opposition tardive du 18 mai 2015, à savoir qu’en raison de leur caractère imprévisible, les problèmes de santé sous-jacents à son incapacité totale de travail du 18 septembre 2014 au 30 mars 2015 ne pouvaient être considérés comme étant survenus avant son affiliation à</w:t>
      </w:r>
    </w:p>
    <w:p>
      <w:r>
        <w:t>A/2940/2015 - 5/6 - l’assurance-chômage. Ne constituant pas l’objet du présent litige, la pertinence de cet argument ne sera toutefois pas examinée par la chambre de céans. Les conditions d’une restitution du délai n’étant pas remplies, l’intimé était fondé à déclarer l’opposition du recourant irrecevable. Partant, le recours ne peut qu’être rejeté.</w:t>
      </w:r>
    </w:p>
    <w:p>
      <w:r>
        <w:t>A/2940/2015 - 6/6 -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