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ATAS/981/2010 vom 30. September 2010</w:t>
      </w:r>
    </w:p>
    <w:p>
      <w:r>
        <w:t>GE Cour de justice, 2010-09-30, FR</w:t>
      </w:r>
    </w:p>
    <w:p>
      <w:r>
        <w:rPr>
          <w:b/>
        </w:rPr>
        <w:t xml:space="preserve">Quelle: </w:t>
      </w:r>
      <w:r>
        <w:t>https://mcp.opencaselaw.ch/entscheid/ge_gerichte_ATAS_981_2010</w:t>
      </w:r>
    </w:p>
    <w:p>
      <w:r>
        <w:t>FR: GE_GERICHTE ATAS/981/2010 du 30 septembre 2010</w:t>
      </w:r>
    </w:p>
    <w:p>
      <w:r>
        <w:t>IT: GE_GERICHTE ATAS/981/2010 del 30 settembre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t>A/615/2010 - 6/16 -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la suppression de la rente d’invalidité précédemment octroyée au recourant, dès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17 décembre 2009, qui a été confirmé par la décision du 8 février 2010, contre laquelle l'assuré a interjeté directement recours devant le Tribunal de céans le 19 février 2010.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w:t>
      </w:r>
    </w:p>
    <w:p>
      <w:r>
        <w:t>A/615/2010 - 7/16 -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w:t>
      </w:r>
    </w:p>
    <w:p>
      <w:r>
        <w:t>A/615/2010 - 8/16 -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w:t>
      </w:r>
    </w:p>
    <w:p>
      <w:r>
        <w:t>A/615/2010 - 9/16 - l'ensemble des circonstances du cas que l'assuré, sans invalidité, ne se serait pas contenté d'une telle rémunération de manière durable (cf. AJP 2002 1487; RCC 1992 p. 96 consid. 4a).</w:t>
      </w:r>
    </w:p>
    <w:p>
      <w:r>
        <w:rPr>
          <w:b/>
        </w:rPr>
        <w:t>E. 7</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b)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c)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t>A/615/2010 - 10/16 - i.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A/615/2010 - 11/16 -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w:t>
      </w:r>
    </w:p>
    <w:p>
      <w:r>
        <w:t>A/615/2010 - 12/16 - (ATF 102 V 165; VSI 2001 p. 224 consid. 2b et les références; cf. aussi ATF 127 V 298 consid. 4c in fine).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w:t>
      </w:r>
    </w:p>
    <w:p>
      <w:r>
        <w:rPr>
          <w:b/>
        </w:rPr>
        <w:t>E. 9</w:t>
      </w:r>
    </w:p>
    <w:p>
      <w:r>
        <w:t>Dans le cas d'espèce, l’OAI a décidé de supprimer, par voie de révision, la rente d’invalidité du recourant, précédemment octroyée sur la base des conclusions de l’examen psychiatrique effectué par le Dr P_____________, du SMR, en juin 2003, au motif que selon l’expertise de la Dresse R_____________, le trouble dépressif récurrent avait connu une évolution favorable et n’était plus présent, depuis 2006. Le recourant conteste la valeur probante de l’expertise de la Dresse R_____________. L’experte se serait selon lui livrée à une nouvelle appréciation médicale de son cas. Par ailleurs, selon le Dr S_____________, qui avait examiné le recourant en avril 2010, le trouble dépressif serait toujours invalidant. Le Tribunal observe à cet égard qu’effectivement, la Dresse R_____________ n’a pas clairement comparé les faits tels qu'ils se présentaient au moment de la décision initiale avec la situation au moment de son examen (ATFA non publié du 12 juillet 2005, I 282/04, consid. 5.2 et 5.3). Dans l’expertise, elle affirme que contrairement au Dr P_____________, elle ne retient pas le diagnostic de trouble dépressif récurrent, dès lors que le recourant n’a pas présenté plusieurs épisodes dépressifs entrecoupés de périodes de rémission. Elle affirme par ailleurs que malgré le diagnostic de dépression évoqué en 2003, le recourant n’a jamais nécessité de suivi</w:t>
      </w:r>
    </w:p>
    <w:p>
      <w:r>
        <w:t>A/615/2010 - 13/16 - psychiatrique ni de médication antidépressive à doses thérapeutiques. Ce faisant, la Dresse R_____________ semble procéder à une nouvelle appréciation de la situation prévalant en 2003. Certes, elle évoque également le fait que les facteurs de stress psycho-sociaux, notamment les menaces de renvoi et les incertitudes liées au permis de séjour du recourant, ont disparu en 2006, ce qui expliquerait la rémission du trouble dépressif. L’expertise n’est toutefois pas suffisamment claire et dépourvue d’ambiguïté s’agissant de l’évolution de l’état de santé du recourant entre 2003 et 2009. De plus, le recourant a produit un rapport du Dr S_____________, d’avril 2010, qui fait état d’un trouble dépressif qualifié de sévère, toujours présent et invalidant. Si le rapport du Dr S_____________ n’emporte pas à lui seul la conviction, il est susceptible de renforcer les doutes au sujet de la valeur probante de l’expertise de la Dresse R_____________. En présence d’avis totalement divergents, il se justifie d’ordonner une expertise judiciaire.</w:t>
      </w:r>
    </w:p>
    <w:p>
      <w:r>
        <w:rPr>
          <w:b/>
        </w:rPr>
        <w:t>E. 10</w:t>
      </w:r>
    </w:p>
    <w:p>
      <w:r>
        <w:t>Cette expertise sera confiée au Dr U_____________, médecin spécialiste en psychiatrie, à Chêne-Bourg.</w:t>
      </w:r>
    </w:p>
    <w:p>
      <w:r>
        <w:rPr>
          <w:b/>
        </w:rPr>
        <w:t>E. 11</w:t>
      </w:r>
    </w:p>
    <w:p>
      <w:r>
        <w:t>Pour répondre aux observations des parties, les questions i., k. et n. ont été modifiées.</w:t>
      </w:r>
    </w:p>
    <w:p>
      <w:r>
        <w:t>A/615/2010 - 14/16 -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