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ATAS/980/2025 vom 11. Dezember 2025</w:t>
      </w:r>
    </w:p>
    <w:p>
      <w:r>
        <w:t>GE Cour de justice, 2025-12-11, FR</w:t>
      </w:r>
    </w:p>
    <w:p>
      <w:r>
        <w:rPr>
          <w:b/>
        </w:rPr>
        <w:t xml:space="preserve">Quelle: </w:t>
      </w:r>
      <w:r>
        <w:t>https://mcp.opencaselaw.ch/entscheid/ge_gerichte_ATAS_980_2025</w:t>
      </w:r>
    </w:p>
    <w:p>
      <w:r>
        <w:t>FR: GE_GERICHTE ATAS/980/2025 du 11 décembre 2025</w:t>
      </w:r>
    </w:p>
    <w:p>
      <w:r>
        <w:t>IT: GE_GERICHTE ATAS/980/2025 del 11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w:t>
      </w:r>
    </w:p>
    <w:p>
      <w:r>
        <w:rPr>
          <w:b/>
        </w:rPr>
        <w:t>E. 2</w:t>
      </w:r>
    </w:p>
    <w:p>
      <w:r>
        <w:t>Le litige porte sur le refus d’octroi de mesures professionnelles ainsi que sur le degré d’invalidité et la quotité de la rente, retenus par l’intimé.</w:t>
      </w:r>
    </w:p>
    <w:p>
      <w:r>
        <w:rPr>
          <w:b/>
        </w:rPr>
        <w:t>E. 3.1</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w:t>
      </w:r>
    </w:p>
    <w:p>
      <w:r>
        <w:t>A/2593/2025 - 7/22 -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le litige porte sur le degré d’invalidité, fixant le droit à la rente d’invalidité, dont il n’est pas contesté que ledit droit est né postérieurement au 31 décembre 2021, de sorte que les dispositions légales applicables seront citées dans leur nouvelle teneur.</w:t>
      </w:r>
    </w:p>
    <w:p>
      <w:r>
        <w:rPr>
          <w:b/>
        </w:rPr>
        <w:t>E. 4.1</w:t>
      </w:r>
    </w:p>
    <w:p>
      <w:r>
        <w:t>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4.2</w:t>
      </w:r>
    </w:p>
    <w:p>
      <w:r>
        <w:t>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w:t>
      </w:r>
    </w:p>
    <w:p>
      <w:r>
        <w:rPr>
          <w:b/>
        </w:rPr>
        <w:t>E. 4.3</w:t>
      </w:r>
    </w:p>
    <w:p>
      <w:r>
        <w:t>Selon la jurisprudence, si l'assuré peut prétendre à des prestations de l'assurance-invalidité, l'allocation d'une rente d'invalidité à l'issue du délai d'attente (cf. art. 28 al. 1 LAI) n'entre en considération que si l'intéressé n'est pas, ou pas encore, susceptible d'être réadapté professionnellement en raison de son état de santé (principe dit de la priorité de la réadaptation sur la rente ; ATF 121 V 190 consid. 4c). La preuve de l'absence de capacité de réadaptation comme condition à l'octroi d'une rente d'invalidité doit présenter un degré de vraisemblance prépondérante. Dans les autres cas, une rente de l'assurance- invalidité ne peut être allouée avec effet rétroactif que si les mesures d'instruction destinées à démontrer que l'assuré est susceptible d'être réadapté ont révélé que celui-ci ne l'était pas (ATF 121 V 190 consid. 4d ; arrêt du Tribunal fédéral 9C_559/2021 du 14 juillet 2022 consid. 2.2 et les références).</w:t>
      </w:r>
    </w:p>
    <w:p>
      <w:r>
        <w:t>A/2593/2025 - 8/22 -</w:t>
      </w:r>
    </w:p>
    <w:p>
      <w:r>
        <w:rPr>
          <w:b/>
        </w:rPr>
        <w:t>E. 5.1</w:t>
      </w:r>
    </w:p>
    <w:p>
      <w:r>
        <w:t>Selon l’art. 54a LAI, les SMR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SMR puisse établir une évaluation globale et compréhensible de la capacité fonctionnelle résiduelle, qui tienne compte de tous les facteurs médicaux influents (Office fédéral des assurances sociales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5.2</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w:t>
      </w:r>
    </w:p>
    <w:p>
      <w:r>
        <w:t>A/2593/2025 - 9/22 - peut encore, raisonnablement, exiger de l’assuré (ATF 125 V 256 consid. 4 et les références).</w:t>
      </w:r>
    </w:p>
    <w:p>
      <w:r>
        <w:rPr>
          <w:b/>
        </w:rPr>
        <w:t>E. 5.3</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5.4</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 135 V 465 consid. 4.4. et les références ; 125 V 351 consid. 3b/bb).</w:t>
      </w:r>
    </w:p>
    <w:p>
      <w:r>
        <w:rPr>
          <w:b/>
        </w:rPr>
        <w:t>E. 5.5</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t>A/2593/2025 - 10/22 - 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(cf. ATF 137 V 210 consid. 3.4.2.3 ; cf. arrêt du Tribunal fédéral 8C_162/2023 du 9 octobre 2023 consid. 2.3 et les références).</w:t>
      </w:r>
    </w:p>
    <w:p>
      <w:r>
        <w:rPr>
          <w:b/>
        </w:rPr>
        <w:t>E. 5.6</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Le médecin du SMR n'a pas l'obligation de procéder lui-même à un examen médical sur la personne de l'assuré (cf. art. 49 al. 2 RAI) mais peut, selon les circonstances, fonder son avis en évaluant les éléments médicaux au dossier. Cette appréciation en l'absence d'examen n'est pas dénuée d'emblée de toute valeur probante et est soumise aux mêmes exigences en matière de preuve que les autres rapports médicaux (ATF 136 V 376 consid. 4.1 ; arrêt du Tribunal fédéral 8C_160/2025 du 27 octobre 2025 consid. 5.2 et la référence).</w:t>
      </w:r>
    </w:p>
    <w:p>
      <w:r>
        <w:rPr>
          <w:b/>
        </w:rPr>
        <w:t>E. 5.7</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w:t>
      </w:r>
    </w:p>
    <w:p>
      <w:r>
        <w:t>A/2593/2025 - 11/22 - par conséquent, la violation du principe mentionné (arrêt du Tribunal fédéral 9C_973/2011 du 4 mai 2012 consid. 3.2.1).</w:t>
      </w:r>
    </w:p>
    <w:p>
      <w:r>
        <w:rPr>
          <w:b/>
        </w:rPr>
        <w:t>E. 5.8</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6</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arrêt du Tribunal fédéral 8C_43/2023 du 29 novembre 2023 consid. 5.1 et 5.2 et les références).</w:t>
      </w:r>
    </w:p>
    <w:p>
      <w:r>
        <w:rPr>
          <w:b/>
        </w:rPr>
        <w:t>E. 7.1</w:t>
      </w:r>
    </w:p>
    <w:p>
      <w:r>
        <w:t>En vertu de l’art. 28b LAI, la quotité de la rente est fixée en pourcentage d’une rente entière (al. 1). Pour un taux d’invalidité compris entre 50 et 69%, la quotité de la rente correspond au taux d’invalidité (al. 2) ; pour un taux d’invalidité supérieur ou égal à 70%, l’assuré a droit à une rente entière (al. 3).</w:t>
      </w:r>
    </w:p>
    <w:p>
      <w:r>
        <w:t>A/2593/2025 - 12/22 - Pour les taux d’invalidité compris entre 40 et 49%, la quotité de la rente s’échelonne de 25 à 47,5% (al. 4). La quotité de la rente est déterminée en fonction de l’incapacité de gain au moment où le droit à la rente prend naissance (cf. art. 28 al. 1 let. c LAI). Le droit à la rente naît au plus tôt à l’échéance d’une période de six mois à compter de la date à laquelle l’assuré à fait valoir son droit aux prestations conformément à l’art. 29 al. 1 LPGA, mais pas avant le mois qui suit le 18e anniversaire de l’assuré (art. 29 al. 1 LAI).</w:t>
      </w:r>
    </w:p>
    <w:p>
      <w:r>
        <w:rPr>
          <w:b/>
        </w:rPr>
        <w:t>E. 7.2</w:t>
      </w:r>
    </w:p>
    <w:p>
      <w:r>
        <w:t>Pour évaluer le taux d'invalidité d’un assuré exerçant une activité lucrative, le revenu qu’il aurait pu obtenir s'il n'était pas invalide est comparé avec celui qu'il pourrait obtenir en exerçant l'activité qui peut raisonnablement être exigée de lui après les traitements et les mesures de réadaptation, sur un marché du travail équilibré. Le Conseil fédéral fixe les revenus déterminants pour l’évaluation du taux d’invalidité ainsi que les facteurs de correction applicables (art. 16 LPGA et 28a al. 1 LAI). Selon l’art. 24septies RAI, le statut d’un assuré est déterminé en fonction de la situation professionnelle dans laquelle il se trouverait s’il n’était pas atteint dans sa santé (al. 1). L’assuré est réputé exercer une activité lucrative au sens de l’art. 28a al. 1 LAI dès lors qu’en bonne santé, il exercerait une activité lucrative à un taux d’occupation de 100% ou plus (al. 2 let. a).</w:t>
      </w:r>
    </w:p>
    <w:p>
      <w:r>
        <w:rPr>
          <w:b/>
        </w:rPr>
        <w:t>E. 7.3</w:t>
      </w:r>
    </w:p>
    <w:p>
      <w:r>
        <w:t>L’art. 25 RAI pose les principes de la comparaison des revenus. Selon son al. 1, est réputé revenu au sens de l’art. 16 LPGA le revenu annuel présumable sur lequel les cotisations seraient perçues en vertu de la LAVS, à l’exclusion toutefois : des prestations accordées par l’employeur pour compenser des pertes de salaire par suite d’accident ou de maladie entraînant une incapacité de travail dûment prouvée (let. a) ; des indemnités de chômage, des allocations pour perte de gain au sens de la LAPG et des indemnités journalières de l’assurance- invalidité (let. b). Les revenus déterminants au sens de l’art. 16 LPGA sont établis sur la base de la même période et au regard du marché du travail suisse (art. 25 al. 2 RAI). Si les revenus déterminants sont fixés sur la base de valeurs statistiques, les valeurs médianes de l’ESS de l’Office fédéral de la statistique font foi. D’autres valeurs statistiques peuvent être utilisées, pour autant que le revenu en question ne soit pas représenté dans l’ESS. Les valeurs utilisées sont indépendantes de l’âge et tiennent compte du sexe (art. 25 al. 3 RAI). Les valeurs statistiques sont adaptées au temps de travail usuel au sein de l’entreprise selon la division économique ainsi qu’à l’évolution des salaires nominaux (art. 25 al. 4 RAI).</w:t>
      </w:r>
    </w:p>
    <w:p>
      <w:r>
        <w:rPr>
          <w:b/>
        </w:rPr>
        <w:t>E. 7.4</w:t>
      </w:r>
    </w:p>
    <w:p>
      <w:r>
        <w:t>La comparaison des revenus s'effectue, en règle ordinaire, en chiffrant aussi exactement que possible les montants des revenus sans et avec invalidité et en les confrontant l'un avec l'autre, la différence permettant de calculer le taux</w:t>
      </w:r>
    </w:p>
    <w:p>
      <w:r>
        <w:t>A/2593/2025 - 13/22 - d'invalidité (méthode générale de comparaison des revenus ; ATF 137 V 334 consid. 3.1.1 ; 128 V 29 consid. 1 ;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143 V 295 consid. 2.3 et les références ; 129 V 222 ; 128 V 174).</w:t>
      </w:r>
    </w:p>
    <w:p>
      <w:r>
        <w:rPr>
          <w:b/>
        </w:rPr>
        <w:t>E. 7.5</w:t>
      </w:r>
    </w:p>
    <w:p>
      <w:r>
        <w:t>Selon l’art. 26 RAI, le revenu sans invalidité (art. 16 LPGA) est déterminé en fonction du dernier revenu de l’activité lucrative effectivement réalisé avant la survenance de l’invalidité. Si le revenu réalisé au cours des dernières années précédant la survenance de l’invalidité a subi de fortes variations, il convient de se baser sur un revenu moyen équitable (al. 1). Si le revenu effectivement réalisé est inférieur d’au moins 5% aux valeurs médianes usuelles dans la branche selon l’ESS au sens de l’art. 25 al. 3, le revenu sans invalidité correspond à 95% de ces valeurs médianes, excepté lorsque le revenu avec invalidité au sens de l’art. 26bis al. 1 RAI est également inférieur d’au moins 5% aux valeurs médianes usuelles dans la branche selon l’ESS ou lorsque l’assuré exerçait une activité lucrative indépendante (art. 26 al. 2 et 3 RAI).</w:t>
      </w:r>
    </w:p>
    <w:p>
      <w:r>
        <w:rPr>
          <w:b/>
        </w:rPr>
        <w:t>E. 7.6</w:t>
      </w:r>
    </w:p>
    <w:p>
      <w:r>
        <w:t>Afin de comparer le salaire effectivement réalisé à celui fondé sur les ESS, ce dernier doit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(cf. ATF 143 V 295 consid. 4.1.3 ; arrêt du Tribunal fédéral 8C_659/2022 du 2 mai 2023 consid. 7.2). La jurisprudence du Tribunal fédéral concernant l’utilisation des salaires statistiques reste pertinente (OFAS, rapport explicatif, ad art. 25 al. 3, p. 45). Il convient de se fonder, en règle générale, sur les valeurs médianes indiquées dans la table ESS TA1_tirage_skill_level. Il y a lieu de déterminer d’abord si ce sont les valeurs pour un secteur économique donné (branche) ou celles de l’ensemble des secteurs économiques qui reflètent le mieux la situation de l’assuré. Pour cela, il faut prendre en considération la formation professionnelle de l’assuré, sauf si ce dernier n'a jamais exercé la profession concernée ou ne l’a plus fait depuis de nombreuses années. En revanche, si, en raison de sa formation ou de son expérience professionnelle, l’assuré peut avoir accès à l’ensemble du marché du travail, les valeurs totales du tableau peuvent être utilisées. Puis, il convient de définir le niveau de compétences applicable en fonction de la formation, de l’expérience et de la situation professionnelles de l’assuré. Le</w:t>
      </w:r>
    </w:p>
    <w:p>
      <w:r>
        <w:t>A/2593/2025 - 14/22 - salaire, indépendant de l’âge et tenant compte du sexe (ATF 129 V 408 consid. 3.1.2), doit être adapté au temps de travail usuel dans les entreprises de la division économique concernée et, le cas échéant, indexé selon l’évolution de l’indice suisse des salaires nominaux au sein de la branche pour l’année déterminante (cf. art. 25 al. 3 et 4 ; 26 al. 4 RAI ; OFAS, Circulaire sur l’invalidité et les rentes dans l’assurance-invalidité [ci-après : CIRAI], ch. 3207 et ss ; cf. arrêt du Tribunal fédéral 8C_276/2021 du 2 novembre 2021). Si l’on ne tient pas compte d’une branche en particulier, le total de la durée normale du travail dans les entreprises ou l’évolution des salaires nominaux de toutes les divisions économiques est déterminant (OFAS, CIRAI, ch. 3212 et 3213).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9.1</w:t>
      </w:r>
    </w:p>
    <w:p>
      <w:r>
        <w:t>À titre préalable, il convient de rappeler que le recourant a demandé la mise en œuvre de « débats publics ». Les garanties minimales de l'art. 29 al. 2 de la Constitution fédérale de la Confédération suisse du 18 avril 1999 (Cst. - RS 101) en matière de droit d'être entendu ne confèrent pas le droit d'être entendu oralement par l'autorité (cf. ATF 134 I 140 consid. 5.3 et les références). En l'occurrence, il ne se justifie pas d'entendre le recourant en audience publique, dès lors qu'il n'a pas motivé sa demande, qu'il a pu pleinement s'exprimer par écrit et que son audition n’est pas utile à la résolution du litige.</w:t>
      </w:r>
    </w:p>
    <w:p>
      <w:r>
        <w:rPr>
          <w:b/>
        </w:rPr>
        <w:t>E. 9.2</w:t>
      </w:r>
    </w:p>
    <w:p>
      <w:r>
        <w:t>En l’espèce, sur le fond, le recourant considère que l’intimé a mal apprécié la situation en se fondant sur une expertise pluridisciplinaire administrative qui minimise les atteintes dont il souffre sur le plan orthopédique, notamment au niveau des pieds. Il estime qu’il sied de se fonder sur l’appréciation médicale du Prof. F______, qui ne retient qu’une capacité de travail de 50% au maximum, dans une activité adaptée. Dans un deuxième grief, le recourant considère que l’abattement forfaitaire de 10% retenu par l’OAI est insuffisant dès lors que l’intimé n’a pas tenu compte du fait qu’il n’est pas de nationalité suisse, qu’il ne dispose d’aucune formation, qu’il</w:t>
      </w:r>
    </w:p>
    <w:p>
      <w:r>
        <w:t>A/2593/2025 - 15/22 - est éloigné de l’emploi depuis de nombreuses années et qu’il ne maîtrise pas la langue française, raisons pour lesquelles le taux d’abattement devrait être plus important. L’intimé, quant à lui estime que l’expertise administrative multidisciplinaire présente une pleine valeur probante, raison pour laquelle une capacité de travail de 100% doit être reconnue, avec toutefois une perte de rendement de 30%, ce qui aboutit à une capacité de travail résiduelle de 70%. En ce qui concerne l’abattement, le taux de 10% est adapté aux limitations fonctionnelles du recourant, ce d’autant plus que les éléments qu’il énumère n’entrent pas en considération dans le cadre du calcul de l’abattement.</w:t>
      </w:r>
    </w:p>
    <w:p>
      <w:r>
        <w:rPr>
          <w:b/>
        </w:rPr>
        <w:t>E. 9.3</w:t>
      </w:r>
    </w:p>
    <w:p>
      <w:r>
        <w:t>La chambre de céans constate que l’expertise pluridisciplinaire est fondée sur toutes les pièces du dossier, qu'elle comprend une anamnèse, qu'elle tient compte des plaintes exprimées par le recourant et de sa description d'une journée-type. Les experts ont, par ailleurs, consigné le résultat de leurs constatations objectives à la suite de leurs examens cliniques respectifs et ont précisé les diagnostics et limitations fonctionnelles retenus. Ils ont, au surplus, procédé à une appréciation générale interdisciplinaire de la capacité de travail du recourant, après évaluation consensuelle. Ce rapport d’expertise répond ainsi, sur le plan formel, à tous les réquisits jurisprudentiels pour se voir reconnaître une pleine valeur probante. Sur le fond, seul le volet orthopédique de l’expertise a été retenu comme ayant des conséquences sur la capacité de travail du recourant, ce qui n’est pas contesté par ce dernier. Lors de l’examen clinique, l’expert a demandé au recourant de lui décrire les limitations fonctionnelles qu’il constatait dans sa vie de tous les jours et ce dernier les a décrites en détail en p. 17 du rapport. Le médecin a constaté que le recourant marche en salle de consultation avec une légère boiterie droite, la marche sur la pointe des pieds étant difficile mais possible et la marche sur les talons étant possible, de même que la position monopodale. L’expert a soigneusement examiné l’imagerie médicale et les différents rapports médicaux, qu’il a commentés en p. 21 du rapport. Il a, notamment, constaté une légère boiterie droite lors de l’examen clinique et a noté les ressources internes faibles du recourant, souvent en incapacité de travail durant toute sa carrière professionnelle, ne parlant pas français, n’ayant pas de centre d’intérêt particulier, ni de passions, à part quelques courtes promenades et sans activité particulière. Le manque de capacité en informatique et l’attitude passive du recourant avec, en particulier, sa vision négative de l’avenir, font partie des difficultés qui sont évoquées par le Dr C______. Dans son appréciation médicale du 25 mai 2025, le médecin traitant du recourant, le Prof. F______, mentionne les mêmes limitations fonctionnelles que celles retenues par l’intimé. Il retient, sur un plan général, que l’état ostéoarticulaire du recourant ne lui permet plus de travailler sur un chantier et notamment d’exercer l’activité habituelle de maçon dans le bâtiment. Il mentionne des lésions du genou</w:t>
      </w:r>
    </w:p>
    <w:p>
      <w:r>
        <w:t>A/2593/2025 - 16/22 - et du pied qui ont aggravé une boiterie douloureuse et handicapante, en supination, ainsi que diverses comorbidités. S’agissant de l’expertise administrative, les résultats sont convaincants et les conclusions sont sérieusement motivées ; les avis ne contiennent pas de contradictions et aucun indice concret ne permet de mettre en cause leur bien- fondé. On ne constate pas de contradictions entre le rapport d’expertise orthopédique et le rapport médical du Prof. F______. Ce dernier est plus concis et moins élaboré que le rapport d’expertise et ne bénéficie pas des apports supplémentaires de l’évaluation consensuelle. La chambre de céans considère que le rapport d’expertise présente une pleine valeur probante et que le taux de capacité de travail plus bas, retenu par le Prof. F______, ne montre pas de contradictions ou d’éléments ignorés lors de l’expertise, mais résulte d’une appréciation médicale différente, qui ne saurait remettre en question la valeur probante de l’expertise, étant rappelé que le juge peut et doit tenir compte du fait que, selon l'expérience, le médecin traitant est généralement enclin, en cas de doute, à prendre parti pour son patient en raison de la relation de confiance qui l'unit à ce dernier (ATF 125 V 351 consid. 3b/cc). De plus, comme l’a fait remarquer le SMR, le Prof. F______ n’a pas tenu compte d’un chaussage adapté, par chaussure médicale XELERO associée à un support plantaire, ce dispositif étant de nature à réduire la boiterie et les douleurs au genou et au pied de l’assuré.</w:t>
      </w:r>
    </w:p>
    <w:p>
      <w:r>
        <w:rPr>
          <w:b/>
        </w:rPr>
        <w:t>E. 9.4</w:t>
      </w:r>
    </w:p>
    <w:p>
      <w:r>
        <w:t>En ce qui concerne le deuxième grief, soit le taux d’abattement de 10% critiqué par le recourant,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(cf. ATF 148 V 174 consid. 6.3 et les références ; 146 V 16 consid. 4.1 et ss. et les références). L'étendue de</w:t>
      </w:r>
    </w:p>
    <w:p>
      <w:r>
        <w:t>A/2593/2025 - 17/22 - l'abattement justifié dans un cas concret relève du pouvoir d'appréciation (ATF 132 V 393 consid. 3.3). En l’espèce, même s’il n’a pas la nationalité suisse, le recourant dispose d’un permis d’établissement, ce qui lui permet d’exercer un large éventail de professions. En ce qui concerne l’âge du recourant (51 ans), dans un arrêt récent,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(arrêts du Tribunal fédéral 8C_227/2017 du 17 mai 2018 consid. 5 ; 8C_403/2017 du 25 août 2017 consid. 4.4.1 ; 8C_805/2016 du 22 mars 2017 consid. 3.4.3). Il a également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 activités saisonnières dans le domaine de la plâtrerie et dont le niveau de formation était particulièrement limité (arrêt du Tribunal fédéral 8C_103/2018 du 25 juillet 2018 consid. 5.2). Il a également retenu un taux d’abattement de 10% dans le cas d’une assurée, âgée de 50 ans au moment déterminant de la comparaison des revenus et de surcroît absente depuis de nombreuses années du marché du travail, qui présentait des</w:t>
      </w:r>
    </w:p>
    <w:p>
      <w:r>
        <w:t>A/2593/2025 - 18/22 - limitations fonctionnelles objectives d'ordre psychique, lesquelles n’étaient nullement compensées par d'autres éléments personnels ou professionnels tels que la formation ou l'expérience professionnelle (arrêt du Tribunal fédéral 9C_341/2023 du 29 janvier 2024 consid. 6.2.3). Cette évaluation du taux d’abattement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 il doit s'appuyer sur des circonstances de nature à faire apparaître sa propre appréciation comme la mieux appropriée (ATF 126 V 75 consid. 6 ; 123 V 150 consid. 2 et les références ; arrêt du Tribunal fédéral 8C_337/2009 du 18 février 2010 consid. 7.5). Étant encore précisé que les limitations fonctionnelles justifiant une diminution de rendement déjà prises en compte dans l'évaluation de la capacité de travail n'ont pas à être retenues une seconde fois lors de la détermination de l'abattement (arrêt du Tribunal fédéral 9C_778/2020 du 27 août 2021 consid. 6 et la référence). Il ressort des pièces du dossier que les médecins ont relevé les difficultés linguistiques et le manque de formation du recourant. S’ajoute à cela l’éloignement du marché du travail pendant plusieurs années. Or, ces éléments personnels et professionnels doivent être pris en compte dans la mesure où, loin de compenser l’élément négatif de l’âge, ils s’additionnent à ce dernier pour désavantager le recourant sur le critère de la rémunération qu’il peut raisonnablement espérer. Partant, après analyse du cas concret, la chambre de céans considère que les effets sur la rémunération de ces éléments ont été quelque peu sous-estimés par l’intimé et qu’il faut retenir un taux d’abattement de 15% en lieu et place de celui de 10% retenu par l’intimé. Le montant retenu pour le salaire avec invalidité et le salaire sans invalidité n’est pas critiqué par le recourant et se fonde, à juste titre, sur le tableau ESS TA1 tirage skill level pour un homme. Ainsi, le salaire après indexation selon ISS de CHF 67'472.- est repris à hauteur de 70% après déduction de la perte de rendement de 30%, ce qui aboutit à un montant de CHF 47’230.40. En appliquant un taux d’abattement de 15%, on aboutit à un revenu annuel brut avec invalidité de CHF 40’146.-, en lieu et place de CHF 42'507.-. Le manque à gagner, par rapport au revenu sans invalidité pour un plein temps de CHF 71'600.-, est de CHF 31'454.-, soit 43.9% arrondi à 44% en lieu et place de</w:t>
      </w:r>
    </w:p>
    <w:p>
      <w:r>
        <w:t>A/2593/2025 - 19/22 - 40.63% arrondi à 41% avec la perte de gain de CHF 29’093.- retenue par l’OAI en se fondant sur un taux d’abattement de 10%. À l’aune de ce qui précède, il convient de réformer la décision entreprise en retenant un taux d’invalidité de 44% en lieu et place de 41%, ce qui entraîne un droit à une rente d’une quotité de 35% (art. 28b al. 4 LAI et renvoi à l’annexe 3, taux d’invalidité et de rente) en lieu et place de 27.5 %</w:t>
      </w:r>
    </w:p>
    <w:p>
      <w:r>
        <w:rPr>
          <w:b/>
        </w:rPr>
        <w:t>E. 9.5</w:t>
      </w:r>
    </w:p>
    <w:p>
      <w:r>
        <w:t>En ce qui concerne les mesures de réadaptation demandées par le recourant,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I 388/06 du 25 avril 2007 consid. 7.2). Le droit à une mesure de réadaptation présuppose qu'elle soit appropriée au but de la réadaptation, poursuivi par l'assurance-invalidité,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(cf.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À cet égard, il convient de rappeler les appréciations de l’expert orthopédiste selon lesquelles le recourant est passif et a une vision négative de l’avenir.</w:t>
      </w:r>
    </w:p>
    <w:p>
      <w:r>
        <w:t>A/2593/2025 - 20/22 - La notion de marché équilibré du travail, au sens de l’art. 16 LPGA,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9C_248/2018 du 19 septembre 2018 consid. 6.2 et les références). En d’autres termes, il n'y a pas lieu de poser des exigences excessives à la concrétisation des possibilités de travail et des perspectives de gain, au regard en particulier des postes permettant l'exécution de travaux peu exigeants du point de vue physique et sous l'angle des qualifications ou connaissances professionnelles requises. Restent ainsi exigibles une activité ou un poste de travail qui requièrent une certaine obligeance de la part de l'employeur, le marché du travail équilibré comprenant aussi de telles places de travail, dites « de niche » (arrêt du Tribunal fédéral 8C_772/2020 du 9 juillet 2021 consid. 3.3 et les références). La jurisprudence a par ailleurs admis que les possibilités de travail sur un marché du travail équilibré sont suffisamment concrétisées dans la mesure où entrent en considération, comme exemples d'activités exigibles, des travaux simples de surveillance ou de contrôle, l'utilisation et la surveillance de machines (semi-) automatiques ou d'unités de production, ainsi que l'activité de surveillant de musée ou de parking (arrêt du Tribunal fédéral 8C_772/2020 du 9 juillet 2021 consid. 3.3 et les références). Partant, la décision de l’intimé selon laquelle le recourant dispose d’une capacité de travail de 100% dans une activité adaptée, avec une perte de rendement de 30%, doit être confirmée car le recourant n’a pas rendu vraisemblable que ce sont des limitations liées à son état de santé et non des facteurs dont l’assurance- invalidité n’a pas à répondre - comme le manque de formation et les difficultés linguistiques – qui l’entraveraient dans ses démarches pour retrouver un emploi, ce qui conduit à nier la nécessité d’une mesure de réadaptation.</w:t>
      </w:r>
    </w:p>
    <w:p>
      <w:r>
        <w:rPr>
          <w:b/>
        </w:rPr>
        <w:t>E. 10.1</w:t>
      </w:r>
    </w:p>
    <w:p>
      <w:r>
        <w:t>En conclusion, la décision querellée sera uniquement réformée sur la question du taux d’invalidité et de la quotité de rente retenue et confirmée pour le surplus.</w:t>
      </w:r>
    </w:p>
    <w:p>
      <w:r>
        <w:rPr>
          <w:b/>
        </w:rPr>
        <w:t>E. 10.2</w:t>
      </w:r>
    </w:p>
    <w:p>
      <w:r>
        <w:t>Le recourant, assisté par un mandataire professionnellement qualifié et obtenant partiellement gain de cause, a ainsi droit à une indemnité à titre de</w:t>
      </w:r>
    </w:p>
    <w:p>
      <w:r>
        <w:t>A/2593/2025 - 21/22 - participation à ses frais et dépens, que la chambre de céans fixera à CHF 2'000.- (art. 61 let. g LPGA ; art. 89H al. 3 LPA ; art. 6 du règlement sur les frais, émoluments et indemnités en procédure administrative du 30 juillet 1986 [RFPA - RS E 5 10.03]).</w:t>
      </w:r>
    </w:p>
    <w:p>
      <w:r>
        <w:rPr>
          <w:b/>
        </w:rPr>
        <w:t>E. 10.3</w:t>
      </w:r>
    </w:p>
    <w:p>
      <w:r>
        <w:t>Étant donné que, depuis le 1er juillet 2006, la procédure n'est plus gratuite (art. 69 al. 1bis LAI), au vu du sort du recours, il y a lieu de condamner l'intimé au paiement d'un émolument de CHF 200.-.</w:t>
      </w:r>
    </w:p>
    <w:p>
      <w:r>
        <w:t>A/2593/2025 - 22/22 -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