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ATAS/980/2017 vom 1. November 2017</w:t>
      </w:r>
    </w:p>
    <w:p>
      <w:r>
        <w:t>GE Cour de justice, 2017-11-01, FR</w:t>
      </w:r>
    </w:p>
    <w:p>
      <w:r>
        <w:rPr>
          <w:b/>
        </w:rPr>
        <w:t xml:space="preserve">Quelle: </w:t>
      </w:r>
      <w:r>
        <w:t>https://mcp.opencaselaw.ch/entscheid/ge_gerichte_ATAS_980_2017</w:t>
      </w:r>
    </w:p>
    <w:p>
      <w:r>
        <w:t>FR: GE_GERICHTE ATAS/980/2017 du 1 novembre 2017</w:t>
      </w:r>
    </w:p>
    <w:p>
      <w:r>
        <w:t>IT: GE_GERICHTE ATAS/980/2017 del 1 novembre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w:t>
      </w:r>
    </w:p>
    <w:p>
      <w:r>
        <w:t>A/372/2017 - 8/14 -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L'objet de litige porte sur le bien-fondé de la demande de restitution des prestations perçues en trop au motif que l'intéressée n'avait pas versé à ses enfants le total des montants retenus dans ses dépenses au titre des pensions alimentaires.</w:t>
      </w:r>
    </w:p>
    <w:p>
      <w:r>
        <w:rPr>
          <w:b/>
        </w:rPr>
        <w:t>E. 5</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b. Selon l'art. 9 al. 1 LPC, le montant de la prestation complémentaire annuelle correspond à la part des dépenses reconnues qui excède les revenus déterminants. c. L’art. 10 al. 1er let. a LPC prévoit notamment, pour les personnes qui ne vivent pas en permanence ni pour une longue période dans un home ou dans un hôpital (personnes vivant à domicile), que les dépenses reconnues comprennent les montants destinés à la couverture des besoins vitaux, soit, par année CHF 18'140.- pour les personnes seules (ch. 1), CHF 27'210.- pour les couples (ch. 2), et CHF 9'480.-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L’al. 3 de l’art. 10 LPC dispose que sont en outre reconnus comme dépenses les frais d’obtention du revenu, jusqu’à concurrence du revenu brut de l’activité lucrative (let. a), les frais d’entretien des bâtiments et les intérêts hypothécaires,</w:t>
      </w:r>
    </w:p>
    <w:p>
      <w:r>
        <w:t>A/372/2017 - 9/14 - jusqu’à concurrence du rendement brut de l’immeuble (let. b), les cotisations aux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Aux termes de l’art. 3b al. 3 let. e LPC, les pensions alimentaires dues interviennent au chapitre des dépenses reconnues. Comme le Tribunal fédéral l’a retenu dans l'arrêt du 29 mai 2002 avec références à la doctrine (5P 173/02 considérant 4b – non publié dans Pra 2002 n° 168 p. 911), le libellé clair de cette disposition présuppose que les prestations d’entretien fixées aient été payées (Pratique VSI 2004/03 p. 149 consid. 3).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132 III 209; 118 II 97 consid. 4b/aa). Cette condition ne se trouve pas réalisées dans le cas d'un bénéficiaire de prestations complémentaires (arrêt du Tribunal fédéral des assurances P 21/02 du 8 janvier 2003). Il n'existe pas non plus d'obligation morale d'entretien du père d'un enfant majeur lorsque les ressources de celui-ci sont insuffisantes, étant précisé que celui-là peut bénéficier d'une bourse d'études ou d'autres aides étatiques (arrêt du Tribunal fédéral des assurances P 21/02 du</w:t>
      </w:r>
    </w:p>
    <w:p>
      <w:r>
        <w:rPr>
          <w:b/>
        </w:rPr>
        <w:t>E. 8</w:t>
      </w:r>
    </w:p>
    <w:p>
      <w:r>
        <w:t>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w:t>
      </w:r>
    </w:p>
    <w:p>
      <w:r>
        <w:t>Selon l'art. 25 al. 1 let. d OPC-AVS/AI, la prestation complémentaire annuelle doit être augmentée, réduite ou supprimée lors d'un contrôle périodique, si l'on constate un changement des dépenses reconnues, des revenus déterminants et de la fortune; on pourra renoncer à rectifier la prestation complémentaire annuelle, lorsque la modification est inférieure à CHF 120.- par an. b. En vertu de l’art. 25 al. 2 let. d OPC-AVS/AI,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c. Selon l’art. 19 LPCC, la prestation est modifiée selon les règles prévues en matière de prestations complémentaires fédérales à l'assurance-vieillesse, survivants et invalidité. d.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L’obligation de restituer prévue par l’art. 25 al. 1 phr. 1 LPGA suppose que soient remplies les conditions d’une reconsidération ou d’une révision procédurale de la décision – formelle ou non – par laquelle les prestations en cause ont été allouées (ATF 130 V 318 consid. 5; ATF 129 V 110 consid. 1.1). La modification de</w:t>
      </w:r>
    </w:p>
    <w:p>
      <w:r>
        <w:t>A/372/2017 - 11/14 -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D’après l’art. 11 LPCC,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9</w:t>
      </w:r>
    </w:p>
    <w:p>
      <w:r>
        <w:t>a. En l'espèce, la recourante n'a pas été en mesure de prouver qu'elle a versé à ses enfants le montant total de la pension alimentaire pris en compte dans ses dépenses par le SPC entre le 1er septembre 2011 et le 31 août 2016, soit la période pour laquelle le SPC lui demande la restitution des prestations perçues en trop. Le SPC a, en revanche, pris en compte comme suffisamment établis les versements pour lesquels l'intéressée a pu produire des justificatifs, à savoir les montants versés par le biais de Ria et EUI. Le SPC a, dans ses dernières observations, encore accepté, à juste titre, de prendre en compte le paiement annuel de CHF 650.-, correspondant à</w:t>
      </w:r>
    </w:p>
    <w:p>
      <w:r>
        <w:t>A/372/2017 - 12/14 - USD 700.-, de 2011 à 2015, sur la base du témoignage de Mme L______ devant la chambre de céans, étant relevé que ce témoin n'a pas confirmé la teneur de l'attestation qu'elle avait signée le 10 octobre 2016, de sorte que cette dernière n'emporte pas conviction et ne confirme pas les dires de la recourante.</w:t>
      </w:r>
    </w:p>
    <w:p>
      <w:r>
        <w:t>L'on ne saurait reprocher au SPC de n'avoir pas admis comme suffisamment probantes les attestations de virements d'argent à Kinshasa effectués par d'autres personnes que la recourante les 17 et 20 novembre 2015, les explications de cette dernière sur ce point n'étant pas convaincantes. Elle a en effet allégué qu'elle ne pouvait pas procéder à ces virements elle-même, car elle était au bénéfice d'un permis F, alors qu'il est établi qu'elle était déjà au bénéfice d'un permis de séjour (B) dès le 11 mars 2015. Elle a en outre produit tardivement ces preuves de virements qui n’établissent pas suffisamment qu'ils étaient destinés aux enfants de l'intéressée, les personnes les ayant effectués pouvant également avoir des motifs d'envoyer des sommes d'argent à des proches en RDC.</w:t>
      </w:r>
    </w:p>
    <w:p>
      <w:r>
        <w:t>Le SPC était enfin fondé à ne plus prendre en compte de pensions alimentaires dans son calcul des prestations dès le 1er janvier 2015, la plus jeune des enfants de l'intéressée étant alors âgée de 20 ans, dès lors que la recourante était au bénéfice des prestations complémentaires, ce qui attestait que sa situation financière ne dépassait pas d'environ 20% son minimum vital au sens large, selon la jurisprudence précitée.</w:t>
      </w:r>
    </w:p>
    <w:p>
      <w:r>
        <w:t>b. La recourante aurait dû informer le SPC qu'elle ne versait pas à ses enfants le total du montant pris en compte au titre des pensions alimentaires dans ses dépenses. Elle ne pouvait ignorer ce devoir, qui lui avait été rappelé régulièrement. Le SPC devait, dès lors, en application de l'art. 25 al. 1 let. d OPC-AVS/AI, procéder au recalcul de la prestation complémentaire annuelle de la recourante pour tenir compte des montants effectivement versés, et pouvait lui demander la restitution des prestations indues, en application de l’art. 25 al. 1 phr. 1 LPGA.</w:t>
      </w:r>
    </w:p>
    <w:p>
      <w:r>
        <w:rPr>
          <w:b/>
        </w:rPr>
        <w:t>E. 10</w:t>
      </w:r>
    </w:p>
    <w:p>
      <w:r>
        <w:t>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SPC a appris le 21 juillet 2016 que l'intéressée n'avait pas versé à ses enfants le montant pris en compte au titre de pensions alimentaires dans ses dépenses, soit la</w:t>
      </w:r>
    </w:p>
    <w:p>
      <w:r>
        <w:t>A/372/2017 - 13/14 - date à laquelle il a réceptionné les justificatifs des versements faits pour ses enfants. Il a réclamé les prestations versées en trop par décision du 17 août 2016 adressée à l'intéressée le 26 août 2016. Il a ainsi agi dans le délai d'un an, conformément à l'art. 25 al. 2 phr. 1 LPGA. Le SPC a de lui-même réduit le montant réclamé à l'intéressée pour tenir compte du délai de péremption de cinq ans dans sa décision sur opposition limitant, à juste titre, la période de restitution du 1er septembre 2011 au 31 août 2016.</w:t>
      </w:r>
    </w:p>
    <w:p>
      <w:r>
        <w:rPr>
          <w:b/>
        </w:rPr>
        <w:t>E. 11</w:t>
      </w:r>
    </w:p>
    <w:p>
      <w:r>
        <w:t>Le SPC ayant admis une réduction du montant à restituer dans ses dernières écritures adressées à la chambre de céans, le recours est partiellement admis. La décision querellée sera en conséquence réformée, en ce sens que le montant à restituer est réduit à CHF 36'806.-.</w:t>
      </w:r>
    </w:p>
    <w:p>
      <w:r>
        <w:rPr>
          <w:b/>
        </w:rPr>
        <w:t>E. 12</w:t>
      </w:r>
    </w:p>
    <w:p>
      <w:r>
        <w:t>Il ne sera pas alloué d’indemnité de procédure à la recourante qui n'était pas assistée d'un conseil et n’a pas fait valoir de frais engendrés par la procédure (art. 61 let. g LPGA).</w:t>
      </w:r>
    </w:p>
    <w:p>
      <w:r>
        <w:rPr>
          <w:b/>
        </w:rPr>
        <w:t>E. 13</w:t>
      </w:r>
    </w:p>
    <w:p>
      <w:r>
        <w:t>La procédure est gratuite (art. 61 let. a LPGA).</w:t>
      </w:r>
    </w:p>
    <w:p>
      <w:r>
        <w:t>A/372/2017 - 14/14 -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