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ATAS/980/2013 vom 8. Oktober 2013</w:t>
      </w:r>
    </w:p>
    <w:p>
      <w:r>
        <w:t>GE Cour de justice, 2013-10-08, FR</w:t>
      </w:r>
    </w:p>
    <w:p>
      <w:r>
        <w:rPr>
          <w:b/>
        </w:rPr>
        <w:t xml:space="preserve">Quelle: </w:t>
      </w:r>
      <w:r>
        <w:t>https://mcp.opencaselaw.ch/entscheid/ge_gerichte_ATAS_980_2013</w:t>
      </w:r>
    </w:p>
    <w:p>
      <w:r>
        <w:t>FR: GE_GERICHTE ATAS/980/2013 du 8 octobre 2013</w:t>
      </w:r>
    </w:p>
    <w:p>
      <w:r>
        <w:t>IT: GE_GERICHTE ATAS/980/2013 del 8 ottobre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t>A/2165/2011 - 17/28 -</w:t>
      </w:r>
    </w:p>
    <w:p>
      <w:r>
        <w:rPr>
          <w:b/>
        </w:rPr>
        <w:t>E. 3</w:t>
      </w:r>
    </w:p>
    <w:p>
      <w:r>
        <w:t>Le litige porte sur le droit de la Caisse de réclamer à l'intéressé la réparation du dommage subi en raison du non-paiement des cotisations paritaires AVS/AI/APG/AC, ainsi que des cotisations AMat et AF, dues par la société de janvier 2007 à septembre 2008.</w:t>
      </w:r>
    </w:p>
    <w:p>
      <w:r>
        <w:rPr>
          <w:b/>
        </w:rPr>
        <w:t>E. 4</w:t>
      </w:r>
    </w:p>
    <w:p>
      <w:r>
        <w:t>a) A teneur de l’art. 52 LAVS en vigueur dès le 1er janvier 2003 (introduit par le ch.</w:t>
      </w:r>
    </w:p>
    <w:p>
      <w:r>
        <w:rPr>
          <w:b/>
        </w:rPr>
        <w:t>E. 7</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w:t>
      </w:r>
    </w:p>
    <w:p>
      <w:r>
        <w:t>A/2165/2011 - 22/28 -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w:t>
      </w:r>
    </w:p>
    <w:p>
      <w:r>
        <w:t>A/2165/2011 - 23/28 -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H 252/01 du 14 mai 2002, in VSI 2002 p. 176 s. consid. 3b et d).</w:t>
      </w:r>
    </w:p>
    <w:p>
      <w:r>
        <w:rPr>
          <w:b/>
        </w:rPr>
        <w:t>E. 8</w:t>
      </w:r>
    </w:p>
    <w:p>
      <w:r>
        <w:t>En l'espèce, l'intéressé considère ne pas avoir à répondre des impayés de la société pour l’année 2007 et conteste avoir commis une faute ou une négligence au sens de l’art. 52 LAVS pour l'année 2008, compte tenu des mesures prises en vue du règlement échelonné des impayés.</w:t>
      </w:r>
    </w:p>
    <w:p>
      <w:r>
        <w:rPr>
          <w:b/>
        </w:rPr>
        <w:t>E. 9</w:t>
      </w:r>
    </w:p>
    <w:p>
      <w:r>
        <w:t>L'intéressé allègue qu'il ne saurait être tenu pour responsable du dommage causé à la Caisse en raison du non-paiement des cotisations AVS-AI 2007, puisqu'il n'est devenu associé-gérant qu'en août 2007.</w:t>
      </w:r>
    </w:p>
    <w:p>
      <w:r>
        <w:t>A/2165/2011 - 24/28 - Il y a à cet égard lieu de rappeler que celui qui entre au conseil d'administration d'une société répond du dommage causé à la caisse de compensation en raison du non-paiement des cotisations courantes, mais aussi des cotisations arriérées, sauf si la société était déjà surendettée à ce moment-là (RCC 1992, 269)). Si la situation financière de la société au moment de l'entrée en fonction de l'administrateur était obérée au point que l'arriéré de cotisation ne pouvait déjà plus être recouvré, il y a en effet lieu de considérer que le lien de causalité est rompu, de sorte que l'administrateur ne répondra que de l'accroissement du dommage résultant de la poursuite des activités de la société jusqu'au prononcé de la faillite (H 71/05). En l'espèce toutefois, on ne saurait considérer que la société était surendettée lorsque l'intéressé est devenu associé-gérant, puisque les acomptes de charges sociales notamment ont été régulièrement payés par la société en 2008, ou encore que Monsieur VA__________ a été en mesure d'effectuer des retraits en espèces importants sur le compte de la société dans le courant 2007. Dans l'arrêt ATF 119 V 401 expressément cité par l'intéressé, le TF a jugé que si le dommage existait déjà au moment de l'entrée en fonction de l'administrateur, celui- ci n'engageait pas sa responsabilité pour ce dommage. Cette jurisprudence ne s'applique cependant pas en l'occurrence, dans la mesure où la Caisse, précisément, n'avait pas encore subi de dommage à ce moment-là, étant rappelé que le dommage est réputé être survenu au moment de l'avènement de la péremption ou le jour de la faillite. Le fait que l'intéressé n'ait pu prendre connaissance d'aucune pièce comptable au moment où il est devenu associé-gérant aurait au surplus dû l'inciter à n'accepter cette charge qu'avec la plus grande circonspection. Celui qui se déclare prêt à assumer un mandat d'administrateur, tout en sachant qu'il ne pourra pas le remplir consciencieusement, viole en effet son obligation de diligence (ATF 122 III 200 consid. 3b; RDAT 2003, II, p. 243 et sv. consid. 2.4).</w:t>
      </w:r>
    </w:p>
    <w:p>
      <w:r>
        <w:rPr>
          <w:b/>
        </w:rPr>
        <w:t>E. 10</w:t>
      </w:r>
    </w:p>
    <w:p>
      <w:r>
        <w:t>L'intéressé fait valoir qu'il est intervenu par téléphone, auprès de MB et de Z_________, de septembre 2007 à mars 2008, pour réclamer les pièces comptables, en vain. Monsieur A_________ a à cet égard confirmé qu'en janvier 2008, l'intéressé avait tenté de demander à Monsieur B_________ un bilan intermédiaire. Il a également expliqué que depuis cette date, il avait eu des réunions une fois par mois environ avec Messieurs W__________ et D_________ (responsable du personnel) et l'intéressé, afin de mettre à jour les listes du personnel, ce qui prenait beaucoup de temps. Monsieur B_________ a également confirmé que l'intéressé lui avait demandé à plusieurs reprises les comptes de la société. Il n'y a toutefois trace de démarches de la part de l'intéressé que depuis janvier- février 2008 .</w:t>
      </w:r>
    </w:p>
    <w:p>
      <w:r>
        <w:t>A/2165/2011 - 25/28 - Malgré ces démarches quoi qu'il en soit, il n'apparaît pas que l'intéressé se soit soucié du paiement effectif des cotisations AVS-AI, laissant à Monsieur VA__________ dans un premier temps, puis à Messieurs A_________ et W__________, le soin de s'occuper de cette question. L'intéressé ne s'est pas non plus renseigné auprès de la Caisse. Il n'est du reste intervenu auprès de celle-ci qu'après avoir reçu la dénonciation pénale dans le courant 2009. Même si Monsieur VA__________ avait délibérément dissimulé à l'intéressé la situation financière de la société, même s'il avait effectué des prélèvements sur les comptes de la société sans droit, celui-ci devait exercer son devoir de surveillance et de contrôle.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Il lui appartenait plus particulièrement de veiller à ce que les acomptes versés correspondent à la masse salariale effective de la société. Sur chacun des bordereaux d'acomptes adressés chaque mois par la Caisse à la société, figure l'indication selon laquelle le forfait a été calculé sur la base d'une masse salariale de 385'000 fr. et l'avertissement pour le débiteur qu'il doit annoncer immédiatement toute variation atteignant 10% et au moins 20'000 fr. de la masse salariale estimée. Force est ainsi de constater qu'en revêtant la qualité d'associé-gérant sans en assumer la fonction dans les faits, l'intéressé a tout simplement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Le fait qu'il n'ait pu prendre connaissance d'aucune pièce comptable au moment de devenir associé-gérant, de sorte qu'il ignorait complètement la situation financière réelle de la société, aurait dû l'inciter à surveiller encore plus étroitement, et immédiatement, la personne chargée de la gestion, soit Monsieur VA__________ Cette imprudence est d'autant plus grave que sa fiduciaire avait tenté de le prévenir et qu'il n'a pas tenu compte de ses avertissements. Ce n'est ainsi qu'à partir de janvier 2008, après que Monsieur A_________ lui ait fait part de ses inquiétudes en décembre 2007, qu'il a ramené de Bussigny quelques documents et pris les mesures utiles pour régulariser la situation des employés travaillant "au noir" pour la société. Il ne s'est toutefois toujours pas inquiété du paiement des charges sociales. Il a du reste déclaré à la Cour de céans qu'il n'avait pas été informé de l'établissement et de l'envoi en mai 2008 à la Caisse de la seconde attestation de salaires annuels, laissant en tout état de cause à Messieurs A_________ et W__________ le soin de s'occuper du paiement des salaires et des cotisations AVS-AI.</w:t>
      </w:r>
    </w:p>
    <w:p>
      <w:r>
        <w:t>A/2165/2011 - 26/28 -</w:t>
      </w:r>
    </w:p>
    <w:p>
      <w:r>
        <w:rPr>
          <w:b/>
        </w:rPr>
        <w:t>E. 11</w:t>
      </w:r>
    </w:p>
    <w:p>
      <w:r>
        <w:t>L'intéressé invoque la rupture du lien de causalité entre son comportement et le dommage, dès lors que Monsieur VA__________ lui avait dissimulé la situation réelle de la société, de sorte que quoi qu'il fasse, le dommage serait survenu. Il a communiqué à la Cour de céans l'avis de prochaine clôture rendue par le juge pénal vaudois, aux termes duquel Monsieur VA__________ "sera mis en accusation pour avoir diminué indûment les créances dues à X__________ par ses sociétés vaudoises, avoir prélevé 25'000 fr., à titre de salaire alors qu'il n'y avait pas droit, n'avoir pas tenu de comptabilité et avoir menacé Monsieur A_________".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Cette condition fait en l'espèce défaut. On peut admettre en effet que le dommage ne serait pas survenu, ou ne serait survenu que dans une moindre mesure, si l'intéressé avait respecté son devoir de surveillance. Dans l'hypothèse où il se fût correctement soucié de la marche des affaires de la société, il se serait notamment préoccupé de savoir si les acomptes de cotisations facturés par la Caisse étaient suffisants et aurait pu agir en conséquence. On ne voit pas que le comportement de Monsieur VA__________ ait été de nature à rompre le lien de causalité entre la négligence de l'intéressé et le dommage subi par la Caisse. Les agissements de celui-ci étaient en effet étrangers au devoir de diligence qui était le sien à partir de son entrée dans la société comme associé-gérant. Monsieur VA__________ ne l'a en particulier pas trompé par des manœuvres fallacieuses, en lui présentant par exemple des comptes falsifiés (ATF H 319/99). S'il n'obtenait pas les informations nécessaires, en raison du comportement de Monsieur VA__________ ou de l'attitude de la fiduciaire, perdant par là toute maîtrise sur le contrôle de la gestion de la société, il était tenu de démissionner sans retard. S'il ne l'a pas fait, c'est uniquement parce qu'il craignait de perdre définitivement son investissement et le salaire de 5'000 fr. qui devait lui être versé chaque mois. En conséquence, le moyen tiré de la rupture du lien de causalité apparaît infondé.</w:t>
      </w:r>
    </w:p>
    <w:p>
      <w:r>
        <w:rPr>
          <w:b/>
        </w:rPr>
        <w:t>E. 12</w:t>
      </w:r>
    </w:p>
    <w:p>
      <w:r>
        <w:t>Il y a dès lors lieu d'admettre que l'intéressé a commis, au sens de l'art. 52 LAVS, une négligence grave qui est, de surcroît, en relation de causalité naturelle et adéquate avec le dommage subi par la Caisse. La Cour de céans considère qu’en acceptant la charge d'associé-gérant sans avoir eu connaissance d'aucune pièce comptable, en n'exerçant aucune surveillance et en ne se préoccupant pas du sort des cotisations sociales, l'intéressé a failli à ses obligations et commis une négligence qui, sous l’angle de l’art. 52 LAVS, doit être qualifiée de grave.</w:t>
      </w:r>
    </w:p>
    <w:p>
      <w:r>
        <w:t>A/2165/2011 - 27/28 -</w:t>
      </w:r>
    </w:p>
    <w:p>
      <w:r>
        <w:rPr>
          <w:b/>
        </w:rPr>
        <w:t>E. 13</w:t>
      </w:r>
    </w:p>
    <w:p>
      <w:r>
        <w:t>Mal fondé, le recours doit être rejeté.</w:t>
      </w:r>
    </w:p>
    <w:p>
      <w:r>
        <w:t>A/2165/2011 - 28/28 -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