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ATAS/980/2012 vom 21. August 2012</w:t>
      </w:r>
    </w:p>
    <w:p>
      <w:r>
        <w:t>GE Cour de justice, 2012-08-21, FR</w:t>
      </w:r>
    </w:p>
    <w:p>
      <w:r>
        <w:rPr>
          <w:b/>
        </w:rPr>
        <w:t xml:space="preserve">Quelle: </w:t>
      </w:r>
      <w:r>
        <w:t>https://mcp.opencaselaw.ch/entscheid/ge_gerichte_ATAS_980_2012</w:t>
      </w:r>
    </w:p>
    <w:p>
      <w:r>
        <w:t>FR: GE_GERICHTE ATAS/980/2012 du 21 août 2012</w:t>
      </w:r>
    </w:p>
    <w:p>
      <w:r>
        <w:t>IT: GE_GERICHTE ATAS/980/2012 del 21 agosto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w:t>
      </w:r>
    </w:p>
    <w:p>
      <w:r>
        <w:t>A/1890/2012 - 3/5 - prestations cantonales complémentaires à l'assurance-vieillesse et survivants et à l'assurance-invalidité du 25 octobre 1968 (LPCC; RS J 7 15). Sa compétence pour juger du cas d’espèce est ainsi établie.</w:t>
      </w:r>
    </w:p>
    <w:p>
      <w:r>
        <w:rPr>
          <w:b/>
        </w:rPr>
        <w:t>E. 2</w:t>
      </w:r>
    </w:p>
    <w:p>
      <w:r>
        <w:t>Le recours a été interjeté en temps utile (art. 39 al. 1 et 60 al. 2 LPGA).</w:t>
      </w:r>
    </w:p>
    <w:p>
      <w:r>
        <w:rPr>
          <w:b/>
        </w:rPr>
        <w:t>E. 3</w:t>
      </w:r>
    </w:p>
    <w:p>
      <w:r>
        <w:t>Par sa décision sur opposition du 30 mai 2012, le SPC a recalculé le droit de l'assuré aux prestations complémentaires et repris le versement des prestations dues dès le 1er avril 2012. L'assuré qui contestait la suppression de son droit à compter du 31 mars 2012 a dès lors obtenu satisfaction, de sorte qu'il ne saurait invoquer un intérêt personnel et digne de protection au sens de l'art. 60 LPA à recourir. En effet, conformément au principe de l’unité de la procédure, consacré à l’art. 111 al. 1er de la loi fédérale du 17 juin 2005 sur le Tribunal fédéral (LTF), la qualité pour agir devant les autorités juridictionnelles cantonales dont les décisions sont sujettes à recours en matière de droit public ne peut être subordonnée à des conditions différentes de celles qui régissent la qualité pour recourir au sens de l’art. 89 al. 1er LTF. Or, aux termes de cette disposition, a qualité pour recourir quiconque est particulièrement atteint par la décision attaquée et a un intérêt digne de protection à son annulation ou à sa modification. Selon la jurisprudence rendue sous l’empire de l’art. 103 let. a aOJ, l’intérêt digne de protection consiste en l’utilité pratique que l’admission du recours apporterait au recourant en lui évitant de subir un préjudice de nature économique, idéale, matérielle ou autre que la décision attaquée lui occasionnerait. L’intérêt doit être direct et concret ; en particulier, l’intéressé doit se trouver dans un rapport suffisamment étroit avec la décision ; tel n’est pas le cas de celui qui n’est atteint que de manière indirecte ou médiate (ATF 131 V 300 consid. 3 et les références citées). Aussi le recours doit-il être déclaré irrecevable.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