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ATAS/980/2011 vom 18. Oktober 2011</w:t>
      </w:r>
    </w:p>
    <w:p>
      <w:r>
        <w:t>GE Cour de justice, 2011-10-18, FR</w:t>
      </w:r>
    </w:p>
    <w:p>
      <w:r>
        <w:rPr>
          <w:b/>
        </w:rPr>
        <w:t xml:space="preserve">Quelle: </w:t>
      </w:r>
      <w:r>
        <w:t>https://mcp.opencaselaw.ch/entscheid/ge_gerichte_ATAS_980_2011</w:t>
      </w:r>
    </w:p>
    <w:p>
      <w:r>
        <w:t>FR: GE_GERICHTE ATAS/980/2011 du 18 octobre 2011</w:t>
      </w:r>
    </w:p>
    <w:p>
      <w:r>
        <w:t>IT: GE_GERICHTE ATAS/980/2011 del 18 ottobre 2011</w:t>
      </w:r>
    </w:p>
    <w:p>
      <w:pPr>
        <w:pStyle w:val="Heading2"/>
      </w:pPr>
      <w:r>
        <w:t>Erwägungen</w:t>
      </w:r>
    </w:p>
    <w:p>
      <w:r>
        <w:rPr>
          <w:b/>
        </w:rPr>
        <w:t>E. 12</w:t>
      </w:r>
    </w:p>
    <w:p>
      <w:r>
        <w:t>La réponse de la SUVA a été communiquée à l'assurée et la cause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A/1963/2011 - 4/9 - assurances sociales, du 6 octobre 2000 (LPGA; RS 830.1) relatives à la loi fédérale sur l'assurance-accidents, du 20 mars 1981 (LAA; RS 832.20). Sa compétence pour juger du cas d’espèce est ainsi établie. 2. Le recours a été interjeté en temps utile (art. 60 LPGA). 3. Le litige porte sur le droit de l'intéressée à des prestations LAA en raison des troubles dont elle souffre à l'épaule droite depuis l'événement du 18 décembre 2010. 4. En vertu de l'art. 6 al. 1 LAA, les prestations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(cf. art. 4 LPGA). En outre, aux termes de l'art. 6 al. 2 LAA, le Conseil fédéral peut inclure dans l'assurance des lésions corporelles qui sont semblables aux conséquences d'un accident. En vertu de cette délégation de compétence, le Conseil fédéral a édicté l'art. 9 al. 2 OLAA. Ainsi, pour autant qu’elles ne soient pas manifestement imputables à une maladie ou à des phénomènes dégénératifs, certaines lésions corporelles sont assimilées à un accident, même si elles ne sont pas causées par un facteur extérieur de caractère extraordinaire. Il en va ainsi, la liste étant exhaustive, des fractures, dans la mesure où elles ne sont pas manifestement causées par une maladie (let. a), des déboîtements d'articulation (let b), des déchirures du ménisque (let c), des déchirures de muscles (let d), des élongations de muscles (let e), des déchirures de tendons (let f), des lésions de ligaments (let g) et des lésions du tympan (let h). La notion de lésion assimilée à un accident a pour but d'éviter, au profit de l'assuré, la distinction souvent difficile entre maladie et accident. Aussi les assureurs- accidents LAA doivent-ils assumer un risque qui, en raison de la distinction précitée, devrait en principe être couvert par l'assurance-maladie (ATF 123 V 44 ss. consid. 2b ; 116 V 147 sv. consid. 6c, 114 V 301 consid. 3c; RAMA 2001 no U 435 p. 332, 1988 no U 57 p. 373 consid. 4b).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 123 V 44ss consid. 2b ; 116 V 147 consid. 2c, 114 V 301 consid. 3c ; RAMA 2001 U no 435 p. 332, 1988 U no 57 p. 373 consid. 4b).</w:t>
      </w:r>
    </w:p>
    <w:p>
      <w:r>
        <w:t>A/1963/2011 - 5/9 - En cas de lésions corporelles assimilées à un accident, toutes les conditions constitutives de la notion d'accident doivent être réalisées à l'exception du caractère extraordinaire de la cause extérieure. L'existence d'une cause extérieure - soit un événement similaire à un accident, externe au corps humain, susceptible d'être constaté de manière objective et qui présente une certaine importance - revêt une portée particulière en ce sens qu'à défaut, fût-ce comme simple facteur déclenchant des lésions corporelles au sens de celles énumérées à l'art. 9 al. 2 OLAA, il faudra conclure que les troubles constatés sont manifestement imputables à une maladie ou à des phénomènes dégénératifs dont la prise en charge incombe à l'assurance- maladie (ATF 129 V 468 consid. 4, 123 V 44 sv. consid. 2b, 116 V 147 consid. 2c, 114 V 301 consid. 3c; RAMA 2001 U no 435 p. 332, 1988 U no 57 p. 373 consid. 4b; Bühler, loc. cit., p. 87). Aussi convient-il de nier l'existence d'une lésion corporelle assimilée à un accident dans tous les cas où le facteur dommageable extérieur se confond avec l'apparition (pour la première fois) de douleurs identifiées comme étant des symptômes de lésions corporelles au sens de celles énumérées à l'art. 9 al. 2 let. a à h OLAA. En effet, l'apparition de douleurs en tant que telle ne constitue pas une cause extérieure au sens de la jurisprudence. En d'autres termes, l'on ne saurait considérer la condition posée à l'existence d'un facteur dommageable extérieur comme réalisée du seul fait qu'à un moment précis, l'assuré a éprouvé des douleurs pour la première fois. L'exigence d'un facteur dommageable extérieur n'est pas non plus donnée lorsque l'assuré fait état de douleurs apparues pour la première fois après qu'il ait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C'est la raison pour laquelle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Celui qui éprouve des douleurs identifiées comme étant les symptômes de lésions corporelles au sens de celles énumérées à l'art. 9 al. 2 OLAA, en se levant, en s'asseyant, en se couchant ou en se déplaçant dans une pièce, etc., ne saurait dès lors se prévaloir d'une lésion corporelle assimilée à un accident. A eux seuls, les efforts exercés sur le squelette, les articulations, les muscles, les tendons et les ligaments ne constituent pas une cause dommageable extérieure en tant qu'elle présuppose un risque de lésion non</w:t>
      </w:r>
    </w:p>
    <w:p>
      <w:r>
        <w:t>A/1963/2011 - 6/9 - pas extraordinaire mais à tout le moins accru en regard d'une sollicitation normale de l'organisme (ATF 129 V 470 consid. 4.2.2). Par contre, l'existence d'un facteur dommageable extérieur est admise en cas de changements de position du corps qui sont fréquemment de nature à provoquer des lésions corporelles, selon les constatations de la médecine des accidents. D'après la jurisprudence développée jusqu'à ce jour, tel est notamment le cas du brusque redressement du corps à partir de la position accroupie, du fait d'accomplir un mouvement violent ou en étant lourdement chargé, ou encore du fait de changer de position corporelle de manière incontrôlée sous l'influence de phénomènes extérieurs (ATF 129 V 471 consid. 4.3 ; ATFA du 23 décembre 2003, cause U 180/03). Le caractère extraordinaire peut ainsi être admis lorsque l'assuré s'encouble, glisse ou se heurte à un objet, ou encore lorsqu'il exécute ou tente d'exécuter un mouvement réflexe pour éviter une chute (RAMA 2004 n° U 502 p. 184 consid. 4.1 in fine, 1999 n° U 345 p. 422 consid. 2b). 5.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 125 V 195 consid. ch. 2 et les références). Aussi, n’existe-t-il pas en droit des assurances sociales, un principe selon lequel l’administration ou le juge devrait statuer, dans le doute, en faveur de l’assuré (ATF 126 V 322 consid. 5 let. a). 6. Se pose en premier lieu la question de savoir si l’existence d’une lésion assimilable à un accident au sens de l'art. 9 al. 2 let. b OLAA peut être admise. Selon le Dr DE A___________, l'intéressée souffrait d'un possible état après luxation de l'épaule droite. Le Dr B___________ a quant à lui posé le diagnostic de luxation, précisant qu'il n'avait pas jugé utile de procéder à des examens plus complets, tant le diagnostic lui paraissait clair. La SUVA constatant qu'aucune réduction de l'épaule n'avait été pratiquée, a au contraire considéré que le diagnostic de luxation n'était ni certain, ni vraisemblable. L'intéressée conteste l'avis de la SUVA, alléguant que son épaule s'est remise à sa place toute seule.</w:t>
      </w:r>
    </w:p>
    <w:p>
      <w:r>
        <w:t>A/1963/2011 - 7/9 - Les avis divergent. Il y a toutefois lieu de relever que la question du diagnostic peut en réalité souffrir de rester non résolue, dans la mesure où le recours sera quoi qu'il en soit rejeté pour les motifs qui suivent. 7. Il s'agit à présent de déterminer si une cause extérieure est à l'origine de la lésion. L'intéressée a expliqué qu'elle avait ressenti une vive douleur à l'épaule alors qu'elle rampait sous un caisson dans le cadre d'une leçon de gymnastique. L'intéressée allègue n'avoir jamais souffert de son épaule auparavant. L'apparition de douleurs en tant que telle ne constitue toutefois pas une cause extérieure au sens de la jurisprudence. L'exigence d'un facteur dommageable extérieur n'est pas non plus donnée lorsque l'assuré fait état de douleurs apparues pour la première fois après qu'il ait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L'objet du litige se limite ainsi finalement à se poser la question de savoir si le fait de ramper sous un caisson dans le cadre d'un cours de gymnastique, constitue un geste de la vie courante ou représente une sollicitation du corps plus élevée que la normale. Le TF a considéré que l'élève, assis à son pupitre, qui se retourne en levant le bras gauche en direction d'un camarade de classe assis derrière lui, sans qu'aucun événement extraordinaire ne se soit par ailleurs produit et, en particulier, qu'il ne soit pas tombé, et qui subit une luxation de son épaule gauche, n'a pas été victime d'une lésion corporelle assimilée à un accident, faute de cause dommageable extérieure (ATF U 180/03). Lorsqu'il y a lieu de juger si l'effort fourni par l'assuré requiert ou non une sollicitation plus élevés que la normale, la jurisprudence tient compte de l'activité habituelle, par exemple professionnelle, exercée par l'assuré. Aussi, dans le cas d'un assuré dont le travail nécessitait de sa part beaucoup de manutention, le TF a-t-il examiné si le geste accompli au moment de l'apparition de la lésion s'inscrivait dans le cadre des tâches que lui avait confiées son employeur (ATF 8C_226/10). Le Tribunal cantonal des assurances sociales, alors compétent, a eu l'occasion de traiter, dans un arrêt du 5 novembre 2011, le cas d'un assuré ayant subi une lésion au genou au cours d'un entrainement de basket : il avait sauté pour rattraper le ballon lors d'un rebond, était retombé sur un seul pied, avait entendu un</w:t>
      </w:r>
    </w:p>
    <w:p>
      <w:r>
        <w:t>A/1963/2011 - 8/9 - craquement, puis ressenti une douleur avant de chuter. Le Tribunal a admis l'existence d'un fait extérieur, au motif qu'"étant donné qu'un saut au rebond n'a pas lieu si le ballon n'est pas disputé par un autre joueur et que le basket est un sport de contact, il est hautement vraisemblable que, lors dudit saut, il y a eu une entrave par contact avec un autre joueur ou évitement de celui-ci qui a entrainé une mauvaise réception au sol de la jambe gauche influencée par un phénomène extérieur."(ATAS 1427/2009) En l'espèce, il apparaît, au vu de la jurisprudence, qu'il y a lieu de considérer que la fait de ramper sous un caisson dans le cadre d'un cours de gymnastique n'a rien d'extraordinaire et qu'aucun élément ne permet de considérer que l'assurée, âgée au demeurant d'une vingtaine d'années, ait dû solliciter son membre supérieur droit de façon plus élevée que la normale pour exécuter cet exercice, de sorte que celui-ci peut être assimilé à un geste courant. 8. Aussi le recours est-il rejeté.</w:t>
      </w:r>
    </w:p>
    <w:p>
      <w:r>
        <w:t>A/1963/2011 - 9/9 -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