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ATAS/980/2010 vom 30. September 2010</w:t>
      </w:r>
    </w:p>
    <w:p>
      <w:r>
        <w:t>GE Cour de justice, 2010-09-30, FR</w:t>
      </w:r>
    </w:p>
    <w:p>
      <w:r>
        <w:rPr>
          <w:b/>
        </w:rPr>
        <w:t xml:space="preserve">Quelle: </w:t>
      </w:r>
      <w:r>
        <w:t>https://mcp.opencaselaw.ch/entscheid/ge_gerichte_ATAS_980_2010</w:t>
      </w:r>
    </w:p>
    <w:p>
      <w:r>
        <w:t>FR: GE_GERICHTE ATAS/980/2010 du 30 septembre 2010</w:t>
      </w:r>
    </w:p>
    <w:p>
      <w:r>
        <w:t>IT: GE_GERICHTE ATAS/980/2010 del 30 settembre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s’applique au cas d’espèce.</w:t>
      </w:r>
    </w:p>
    <w:p>
      <w:r>
        <w:rPr>
          <w:b/>
        </w:rPr>
        <w:t>E. 3</w:t>
      </w:r>
    </w:p>
    <w:p>
      <w:r>
        <w:t>Déposé dans les forme et délai prévus par la loi, le présent recours est recevable (art. 56 à 60 LPGA).</w:t>
      </w:r>
    </w:p>
    <w:p>
      <w:r>
        <w:rPr>
          <w:b/>
        </w:rPr>
        <w:t>E. 4</w:t>
      </w:r>
    </w:p>
    <w:p>
      <w:r>
        <w:t>Le litige porte sur la question de savoir si l'évaluation de la capacité ménagère a été effectuée correctement et, par conséquent, sur le taux d'invalidité de la recourante.</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vertu de l’art. 28 al. 2 LAI, l’assuré a droit à une rente entière s’il est invalide à 70 % au moins, à un trois-quarts de rente s'il est invalide à 60 % au moins, à une demi-rente s’il est invalide à 50 % au moins, ou à un quart de rente s’il est invalide à 40 % au moins. En vertu de l’art. 29 LAI, le droit à la rente prend naissance au plus tôt à l’échéance d’une période de six mois à compter de la date à laquelle l’assuré a fait valoir son droit aux prestations conformément à l’art. 29 al. 1er LPGA, mais pas avant le mois qui suit le dix-huitième anniversaire de l’assuré (al. 1er). Le droit ne prend pas naissance tant que l’assuré peut faire valoir son droit à une indemnité journalière au sens de l’art. 22 LAI (al. 2). La rente est versée dès le début du mois au cours duquel le droit prend naissance (al. 3).</w:t>
      </w:r>
    </w:p>
    <w:p>
      <w:r>
        <w:t>A/2165/2008 - 11/15 -</w:t>
      </w:r>
    </w:p>
    <w:p>
      <w:r>
        <w:rPr>
          <w:b/>
        </w:rPr>
        <w:t>E. 6</w:t>
      </w:r>
    </w:p>
    <w:p>
      <w:r>
        <w:t>Lors de l'examen initial du droit à la rente, il faut examiner quelle méthode d'évaluation de l'invalidité il convient d'appliquer (art. 28a LAI, en corrélation avec l'art. 27 du règlement sur l'assurance-invalidité du 17 janvier 1961 - RAI; RS 831.201). Le choix de l'une des trois méthodes entrant en considération (méthode générale de comparaison des revenus, méthode mixte, méthode spécifique) dépendra du statut du bénéficiaire potentiel de la rente : assuré exerçant une activité lucrative à temps complet, assuré non actif ou assuré exerçant une activité lucrative à temps partiel. Pour déterminer la part de l’activité lucrative par rapport à celle consacrée aux travaux ménagers, il convient d’examiner ce que ferait l’assuré dans les mêmes circonstances s’il n’était pas atteint dans sa santé.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146 consid. 2c).</w:t>
      </w:r>
    </w:p>
    <w:p>
      <w:r>
        <w:rPr>
          <w:b/>
        </w:rPr>
        <w:t>E. 7</w:t>
      </w:r>
    </w:p>
    <w:p>
      <w:r>
        <w:t>Pour évaluer l’invalidité des assurés travaillant dans le ménage au sens de l’art. 27 RAI, l'administration procède à une enquête sur les activités ménagères et fixe l’empêchement dans chacune des activités habituelles en se référant au supplément 1 aux directives concernant l’invalidité et l’impotence de l’Office fédéral des assurances sociales.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vis-à-vis de l’office AI ne permet pas encore de conclure à son manque d’objectivité et à son parti pris. Il est nécessaire qu’il existe des</w:t>
      </w:r>
    </w:p>
    <w:p>
      <w:r>
        <w:t>A/2165/2008 - 12/15 - circonstances particulières qui permettent de justifier objectivement les doutes émis quant à l’impartialité de l’évaluation (à propos des rapports et expertises des médecins internes des assurances, cf. ATF 125 V 351 consid. 3b/ee). Selon la jurisprudence, les empêchements de l'assuré doivent être évalués en tenant compte de l'aide que l'on peut exiger des membres de la famille au titre de l'obligation de réduire le dommage (ATF 130 V 97 consid. 3.2 p. 99, 123 V 230 consid. 3c et les références p. 233), une personne qui s'occupe du ménage étant tenue de faire ce que l'on peut raisonnablement attendre d'elle afin d'améliorer sa capacité de travail, par exemple en adoptant une méthode de travail adaptée ou en recourant précisément à l'aide des membres de sa famille dans la mesure habituelle (ATF non publié I 735/04 du 17 janvier 2006, consid. 6.5). En l'occurrence, l'enquête a été dirigée par une infirmière, qui avait connaissance des affections dont la recourante souffre. En l'espèce, la recourante qui exerçait à 50% la profession de nettoyeuse a cessé son activité professionnelle le 27 novembre 2003 et depuis n’a plus repris une quelconque activité. Lors de l'enquête ménagère, elle a indiqué qu'elle aimerait assurer un petit salaire stable pour sa famille et son fils maintenant adolescent. La recourante a encore précisé que ses empêchements dans le ménage étaient relativement importants et majoritairement dus à son bras gauche handicapé. Il a été pris en compte que son mari a le devoir de participer à certaines tâches ménagères, ainsi que dans une moindre mesure son fils de 14 ans et sa fille déjà très prise par ses études de médecine. Toutefois, l’enquête ménagère conclut à un taux d’invalidité de 25%. Il sied, en revanche, de relever que, selon son médecin traitant, la recourante présente une incapacité totale de travail. L'enquête a scindé le champ d'activités ménagères en sept postes comme le préconise le chiffre 3086 de la circulaire concernant l'invalidité et l'impotence de l'AI de l'Office fédéral des assurances sociales (ci-après la CIIAI). La pondération de ces postes se fait en partie selon le chiffre 3086 CIIAI, qui donne un minimum et un maximum, mais aussi sur la base de la jurisprudence du Tribunal fédéral des assurances, en particulier l'arrêt du 11 mars 1985, en la cause V.B., qui donne une moyenne entre les minimas et maximas à prendre en considération. Par rapport à la conduite du ménage, à l'alimentation, aux emplettes et courses diverses, ainsi qu'au poste "divers", l'enquêtrice a retenu une pondération conforme au chiffre 3086 CIIAI et à la jurisprudence. S'agissant des postes relatifs à l'entretien du logement, à la lessive et à l'entretien des enfants, la pondération retenue par l'enquêtrice est conforme à la moyenne jurisprudentielle de 20%.</w:t>
      </w:r>
    </w:p>
    <w:p>
      <w:r>
        <w:t>A/2165/2008 - 13/15 - Le total est bien de 100%, la pondération effectuée par l'enquêtrice est donc correcte. L'enquête ménagère conclut à un taux d’invalidité de 25% alors que l’examen clinique rhumato–psychiatrique du 26 septembre 2007 conclut à une capacité de travail exigible dans l’activité habituelle de 100% tout en laissant au cardiologue traitant le soin de se prononcer, à savoir si l’activité professionnelle légère décrite plus haut est à risque sur le plan cardiaque. L'enquête économique sur le ménage a pris en compte que son mari a le devoir de participer à certaines tâches ménagères, ainsi que dans une moindre mesure son fils de 14 ans et sa fille. Dès lors, l’enquête ménagère conclut à un taux d’invalidité de 25% et l’OAI a retenu un degré d’invalidité de 12,50% dans la tenue du ménage, taux d'invalidité qui n'ouvre pas de droit à l'octroi d'une rente.</w:t>
      </w:r>
    </w:p>
    <w:p>
      <w:r>
        <w:rPr>
          <w:b/>
        </w:rPr>
        <w:t>E. 8</w:t>
      </w:r>
    </w:p>
    <w:p>
      <w:r>
        <w:t>S’agissant de l’examen clinique rhumato-psychiatrique réalisé par le Dr. F__________ et le Dr. G__________, médecins du SMR a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des médecins examinateurs sont motivées, pour lui reconnaître une pleine valeur probante. Au sujet de la capacité de travail exigible, le rapport laisse au cardiologue traitant le soin de se prononcer, à savoir si l’activité professionnelle physiquement légère décrite est à risque sur le plan cardiaque. Toutefois interpellé sur ce point, le SMR relève, par avis médical du 14 août 2008, au sujet du courrier de la Dresse E__________ du 10 août 2006 que « le point 1. indique une capacité de travail limitée à 50% sur le plan strictement cardiaque, ce qui n’est pas correct ; la fonction cardiaque est normalisée et la présence de vertiges/lipothymies ne justifient pas de limitation de la capacité de travail. » Interrogée sur cette question, la Dresse E__________ relève une labilité tensionnelle qui peut avoir une répercussion sur la capacité de travail sans être en mesure de se prononcer sur l’importance de cette répercussion. Pour sa part, le Dr. B__________ qui avait précisé, le 1er décembre 2003, que le problème des syncopes dus à des arrêts cardiaques avait pu être résolu par l’implantation d’un pacemaker, relève, lors de son audition qu’il lui est difficile de dire que la recourante est en incapacité de travail totale. Toutefois, ce médecin peut constater que sa capacité résiduelle de travail est faible. Cependant,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w:t>
      </w:r>
    </w:p>
    <w:p>
      <w:r>
        <w:t>A/2165/2008 - 14/15 - p. 504 consid. 2). Le Tribunal de céans retiendra la valeur probante de l’examen du SMR et se ralliera aux conclusions de l’OAI.</w:t>
      </w:r>
    </w:p>
    <w:p>
      <w:r>
        <w:rPr>
          <w:b/>
        </w:rPr>
        <w:t>E. 9</w:t>
      </w:r>
    </w:p>
    <w:p>
      <w:r>
        <w:t>La loi fédérale du 16 décembre 2005 modifiant la loi fédérale sur l'assurance- invalidité est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fixé à 200 fr. En conclusion, la décision de l’OAI sera confirmée et le recours rejeté. La recourante qui succombe, supportera les frais de justice fixés à 200 fr.</w:t>
      </w:r>
    </w:p>
    <w:p>
      <w:r>
        <w:t>A/2165/2008 - 15/15 -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