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ATAS/97/2020 vom 6. Februar 2020</w:t>
      </w:r>
    </w:p>
    <w:p>
      <w:r>
        <w:t>GE Cour de justice, 2020-02-06, FR</w:t>
      </w:r>
    </w:p>
    <w:p>
      <w:r>
        <w:rPr>
          <w:b/>
        </w:rPr>
        <w:t xml:space="preserve">Quelle: </w:t>
      </w:r>
      <w:r>
        <w:t>https://mcp.opencaselaw.ch/entscheid/ge_gerichte_ATAS_97_2020</w:t>
      </w:r>
    </w:p>
    <w:p>
      <w:r>
        <w:t>FR: GE_GERICHTE ATAS/97/2020 du 6 février 2020</w:t>
      </w:r>
    </w:p>
    <w:p>
      <w:r>
        <w:t>IT: GE_GERICHTE ATAS/97/2020 del 6 febbraio 2020</w:t>
      </w:r>
    </w:p>
    <w:p>
      <w:pPr>
        <w:pStyle w:val="Heading2"/>
      </w:pPr>
      <w:r>
        <w:t>Volltext</w:t>
      </w:r>
    </w:p>
    <w:p>
      <w:r>
        <w:t>Siégeant : Karine STECK, Présidente ; Diane BROTO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A/4336/2019 ATAS/97/2020 COUR DE JUSTICE Chambre des assurances sociales Arrêt du 6 février 2020 3ème Chambre</w:t>
      </w:r>
    </w:p>
    <w:p>
      <w:r>
        <w:t>En la cause Madame A______, domiciliée à CORSIER, représentée par FIDUCIAIRE B______ SA recourante</w:t>
      </w:r>
    </w:p>
    <w:p>
      <w:r>
        <w:t>contre CAISSE CANTONALE GENEVOISE DE COMPENSATION, Service juridique, rue des Gares 12, GENÈVE</w:t>
      </w:r>
    </w:p>
    <w:p>
      <w:r>
        <w:t>intimée</w:t>
      </w:r>
    </w:p>
    <w:p>
      <w:r>
        <w:t>A/4336/2019 - 2/2 - Vu la décision de la Caisse genevoise de compensation (ci-après : la caisse) du 20 juin 2017 fixant le montant des cotisations personnelles de Madame A______ (ci-après : l’assurée) pour les années 2013 et 2014 sur la base des communications de l’Administration fiscale cantonale (AFC) ; Vu la décision sur opposition du 24 octobre 2019 la confirmant ; Vu le recours interjeté par l’assurée le 25 novembre 2019 ; Vu la réponse de l’intimée du 3 janvier 2020 ; Attendu que par écriture du 10 janvier 2020, l’assurée a indiqué retirer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