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ATAS/97/2015 vom 5. Februar 2015</w:t>
      </w:r>
    </w:p>
    <w:p>
      <w:r>
        <w:t>GE Cour de justice, 2015-02-05, FR</w:t>
      </w:r>
    </w:p>
    <w:p>
      <w:r>
        <w:rPr>
          <w:b/>
        </w:rPr>
        <w:t xml:space="preserve">Quelle: </w:t>
      </w:r>
      <w:r>
        <w:t>https://mcp.opencaselaw.ch/entscheid/ge_gerichte_ATAS_97_2015</w:t>
      </w:r>
    </w:p>
    <w:p>
      <w:r>
        <w:t>FR: GE_GERICHTE ATAS/97/2015 du 5 février 2015</w:t>
      </w:r>
    </w:p>
    <w:p>
      <w:r>
        <w:t>IT: GE_GERICHTE ATAS/97/2015 del 5 febbraio 2015</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w:t>
      </w:r>
    </w:p>
    <w:p>
      <w:r>
        <w:t>- 12/16-</w:t>
      </w:r>
    </w:p>
    <w:p>
      <w:r>
        <w:t>A/2729/2014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w:t>
      </w:r>
    </w:p>
    <w:p>
      <w:r>
        <w:rPr>
          <w:b/>
        </w:rPr>
        <w:t>E. 3</w:t>
      </w:r>
    </w:p>
    <w:p>
      <w:r>
        <w:t>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arrêts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w:t>
      </w:r>
    </w:p>
    <w:p>
      <w:r>
        <w:t>- 13/16-</w:t>
      </w:r>
    </w:p>
    <w:p>
      <w:r>
        <w:t>A/2729/2014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4</w:t>
      </w:r>
    </w:p>
    <w:p>
      <w:r>
        <w:t>En l’espèce, l’intimé met en cause la valeur probante de l’aspect psychiatrique de l’expertise de la CRR, en s’appuyant sur les avis du SMR. Ces avis ne revêtent pas pour autant une pleine valeur probante. Se pose cependant aussi la question de l'existence d'un trouble somatoforme douloureux, dès lors que les douleurs à la cheville sont en partie inexplicables et doivent être attribuées partiellement à des facteurs non organiques. Cette question n'ayant pas été examinée par les experts consultés, la chambre de céans juge nécessaire de mettre en œuvre une expertise psychiatrique judiciaire.</w:t>
      </w:r>
    </w:p>
    <w:p>
      <w:r>
        <w:rPr>
          <w:b/>
        </w:rPr>
        <w:t>E. 5</w:t>
      </w:r>
    </w:p>
    <w:p>
      <w:r>
        <w:t>La toxicomanie de M. A______ est-elle, selon toute vraisemblance, la conséquence d’un trouble psychiatrique et, dans l’affirmative, duquel ? Sur quels éléments vous fondez-vous pour votre réponse ?</w:t>
      </w:r>
    </w:p>
    <w:p>
      <w:r>
        <w:rPr>
          <w:b/>
        </w:rPr>
        <w:t>E. 6</w:t>
      </w:r>
    </w:p>
    <w:p>
      <w:r>
        <w:t>En cas de comorbidité psychiatrique, quel rôle a joué la consommation de substances psychoactives dans le déclenchement et l’entretien des troubles psychiatriques ? En cas d’arrêt de consommation, les troubles psychiatriques disparaîtraient-ils ?</w:t>
      </w:r>
    </w:p>
    <w:p>
      <w:r>
        <w:rPr>
          <w:b/>
        </w:rPr>
        <w:t>E. 7</w:t>
      </w:r>
    </w:p>
    <w:p>
      <w:r>
        <w:t>Est-il exigible que le recourant s’abstienne de la consommation des substances psychoactives, notamment de la méthadone et des benzodiazépines ?</w:t>
      </w:r>
    </w:p>
    <w:p>
      <w:r>
        <w:t>- 15/16-</w:t>
      </w:r>
    </w:p>
    <w:p>
      <w:r>
        <w:t>A/2729/2014</w:t>
      </w:r>
    </w:p>
    <w:p>
      <w:r>
        <w:rPr>
          <w:b/>
        </w:rPr>
        <w:t>E. 8</w:t>
      </w:r>
    </w:p>
    <w:p>
      <w:r>
        <w:t>Quel est le traitement de l'expertisé et sa compliance?</w:t>
      </w:r>
    </w:p>
    <w:p>
      <w:r>
        <w:rPr>
          <w:b/>
        </w:rPr>
        <w:t>E. 9</w:t>
      </w:r>
    </w:p>
    <w:p>
      <w:r>
        <w:t>Quel est le dosage des substances toxiques?</w:t>
      </w:r>
    </w:p>
    <w:p>
      <w:r>
        <w:rPr>
          <w:b/>
        </w:rPr>
        <w:t>E. 10</w:t>
      </w:r>
    </w:p>
    <w:p>
      <w:r>
        <w:t>Quelles sont les limitations fonctionnelles liées aux atteintes psychiatriques, sans tenir compte d'un éventuel trouble somatoforme douloureux ?</w:t>
      </w:r>
    </w:p>
    <w:p>
      <w:r>
        <w:rPr>
          <w:b/>
        </w:rPr>
        <w:t>E. 11</w:t>
      </w:r>
    </w:p>
    <w:p>
      <w:r>
        <w:t>Quelle est la capacité de travail de M. A______ sur le plan psychiatrique, abstraction faite de l'éventuel trouble somatoforme douloureux, depuis quand est-elle diminuée et comment a-t-elle évolué à ce jour ?</w:t>
      </w:r>
    </w:p>
    <w:p>
      <w:r>
        <w:rPr>
          <w:b/>
        </w:rPr>
        <w:t>E. 12</w:t>
      </w:r>
    </w:p>
    <w:p>
      <w:r>
        <w:t>M. A______ dispose-t-il des ressources psychiques nécessaires pour surmonter le handicap et les douleurs liées à la cheville et pour mettre à profit une éventuelle capacité de travail résiduelle dans une activité adaptée au handicap physique ?</w:t>
      </w:r>
    </w:p>
    <w:p>
      <w:r>
        <w:rPr>
          <w:b/>
        </w:rPr>
        <w:t>E. 13</w:t>
      </w:r>
    </w:p>
    <w:p>
      <w:r>
        <w:t>Les éventuelles comorbidités au trouble somatoforme douloureux diagnostiquées doivent-elles être considérées comme importantes par leur gravité, acuité et durée?</w:t>
      </w:r>
    </w:p>
    <w:p>
      <w:r>
        <w:rPr>
          <w:b/>
        </w:rPr>
        <w:t>E. 14</w:t>
      </w:r>
    </w:p>
    <w:p>
      <w:r>
        <w:t>Dans la négative, M. A______ remplit-il les autres critères jurisprudentiels pour reconnaître un caractère invalidant à l'éventuel trouble somatoforme douloureux diagnostiqué (cf. consid. 3 3ème al. de l'expertise)?</w:t>
      </w:r>
    </w:p>
    <w:p>
      <w:r>
        <w:rPr>
          <w:b/>
        </w:rPr>
        <w:t>E. 15</w:t>
      </w:r>
    </w:p>
    <w:p>
      <w:r>
        <w:t>Avez-vous l'impression que M. A______ exagère les symptômes physiques?</w:t>
      </w:r>
    </w:p>
    <w:p>
      <w:r>
        <w:rPr>
          <w:b/>
        </w:rPr>
        <w:t>E. 16</w:t>
      </w:r>
    </w:p>
    <w:p>
      <w:r>
        <w:t>En tenant compte également des limitations induites par le trouble somatoforme douloureux, quelle est la capacité de travail de M. A______ sur le plan psychiatrique?</w:t>
      </w:r>
    </w:p>
    <w:p>
      <w:r>
        <w:rPr>
          <w:b/>
        </w:rPr>
        <w:t>E. 17</w:t>
      </w:r>
    </w:p>
    <w:p>
      <w:r>
        <w:t>Quel est votre pronostic ?</w:t>
      </w:r>
    </w:p>
    <w:p>
      <w:r>
        <w:t>D. Invite le Dr Q______ à déposer le plus rapidement possible un rapport en trois exemplaires à la chambre de céans.</w:t>
      </w:r>
    </w:p>
    <w:p>
      <w:r>
        <w:t>- 16/16-</w:t>
      </w:r>
    </w:p>
    <w:p>
      <w:r>
        <w:t>A/2729/2014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