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ATAS/979/2010 vom 29. September 2010</w:t>
      </w:r>
    </w:p>
    <w:p>
      <w:r>
        <w:t>GE Cour de justice, 2010-09-29, FR</w:t>
      </w:r>
    </w:p>
    <w:p>
      <w:r>
        <w:rPr>
          <w:b/>
        </w:rPr>
        <w:t xml:space="preserve">Quelle: </w:t>
      </w:r>
      <w:r>
        <w:t>https://mcp.opencaselaw.ch/entscheid/ge_gerichte_ATAS_979_2010</w:t>
      </w:r>
    </w:p>
    <w:p>
      <w:r>
        <w:t>FR: GE_GERICHTE ATAS/979/2010 du 29 septembre 2010</w:t>
      </w:r>
    </w:p>
    <w:p>
      <w:r>
        <w:t>IT: GE_GERICHTE ATAS/979/2010 del 29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la recourante s'est aggravé depuis la décision sur opposition du 21 janvier 2009, au point de lui ouvrir le droit aux prestations de l'assurance-invalidité.</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w:t>
      </w:r>
    </w:p>
    <w:p>
      <w:r>
        <w:t>A/2477/2010 - 8/11 -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A cet égard, le Tribunal fédéral des assurances a récemment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w:t>
      </w:r>
    </w:p>
    <w:p>
      <w:r>
        <w:rPr>
          <w:b/>
        </w:rPr>
        <w:t>E. 5</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Il y a lieu de préciser que selon la</w:t>
      </w:r>
    </w:p>
    <w:p>
      <w:r>
        <w:t>A/2477/2010 - 9/11 -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6</w:t>
      </w:r>
    </w:p>
    <w:p>
      <w:r>
        <w:t>Selon l’art. 28 al. 2 LAI dans sa teneur dès le 1er janvier 2008 (art.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w:t>
      </w:r>
    </w:p>
    <w:p>
      <w:r>
        <w:rPr>
          <w:b/>
        </w:rPr>
        <w:t>E. 8</w:t>
      </w:r>
    </w:p>
    <w:p>
      <w:r>
        <w:t>En l'espèce, il sied de constater que le rapport du Dr D__________ du 2 juillet 2009 est identique à celui qu'il a rendu le 16 janvier 2009. En effet, les diagnostics sont les mêmes et l'incapacité de travail était déjà totale dans son précédent rapport depuis le 18 février 2002.</w:t>
      </w:r>
    </w:p>
    <w:p>
      <w:r>
        <w:t>A/2477/2010 - 10/11 - Par ailleurs, le Dr C__________ n'a pas non plus fait état d'une aggravation de l'état de santé, dans son rapport du 1er juillet 2009. Certes, il a ajouté aux diagnostics émis précédemment une lombosciatalgie droite, tout en indiquant que la recourante s'est présentée en urgence à sa consultation depuis janvier 2009 à plusieurs reprises avec le dos bloqué et une importante lombosciatalgie droite. Toutefois, il est à relever que cette atteinte n'est pas nouvelle. En effet, déjà en novembre 2008, la recourante avait consulté le Dr B__________ pour une sciatalgie droite, comme il ressort du courrier de ce médecin du 14 novembre 2008 au Dr C__________. Quant au Dr E__________, il sied également de constater qu'il ne mentionne pas une aggravation de l'état de santé. En ce qui concerne le diagnostic de trouble somatoforme douloureux persistant, qui serait nouveau selon la recourante, il ne figure certes pas comme diagnostic séparé dans le rapport d'expertise du 16 novembre 2004 du Centre d'expertise médicale. Il y est toutefois déjà mentionné que la recourante présente un trouble dépressif récurrent avec symptôme somatique. En outre, les Drs D__________ et C__________ ont émis le diagnostic de trouble somatoforme douloureux persistant dans leurs rapports du 16 janvier 2009, respectivement du 3 décembre 2008. Il appert par ailleurs que, si effectivement la recourante a présenté depuis janvier 2009 à plusieurs reprises un dos bloqué et une importante lombosciatalgie droite, des injections intramusculaires lui ont été bénéfiques. Cette aggravation était ainsi, le cas échéant, seulement passagère. Cela étant, même si l'appréciation de la capacité de travail lors de la première décision du 21 janvier 2009 peut paraître discutable, compte tenu de l'important état dépressif de la recourante, il résulte de ce qui précède que son état de santé ne s'est pas aggravé depuis cette décision. Elle aurait donc dû recourir contre celle-ci, si elle n'était pas d'accord avec le refus d'une rente illimitée dans le temps. Ayant omis de le faire, seule une reconsidération de cette décision pourrait entrer en ligne de compte. Cependant, l'assurée n'y a aucun droit. En cas de découverte d'un fait nouveau, ne consistant pas seulement en une nouvelle appréciation de l'état de santé resté essentiellement le même (on pourrait éventuellement songer à un examen neuro-psychologique ou une observation professionnelle aux HUG, qui pourraient être mis en œuvre par l'Hospice général), une révision procédurale serait également envisageable. En l'absence d'une aggravation, les conditions légales pour une révision matérielle de la décision initiale au sens de l'art. 17 LPGA ne sont cependant pas remplies.</w:t>
      </w:r>
    </w:p>
    <w:p>
      <w:r>
        <w:rPr>
          <w:b/>
        </w:rPr>
        <w:t>E. 9</w:t>
      </w:r>
    </w:p>
    <w:p>
      <w:r>
        <w:t>Au vu de ce qui précède, le recours sera rejeté.</w:t>
      </w:r>
    </w:p>
    <w:p>
      <w:r>
        <w:rPr>
          <w:b/>
        </w:rPr>
        <w:t>E. 10</w:t>
      </w:r>
    </w:p>
    <w:p>
      <w:r>
        <w:t>Dans la mesure où la recourante succombe, elle sera condamnée à un émolument de justice de 200 fr., en application de l'art. 69 al. 1bis LAI.</w:t>
      </w:r>
    </w:p>
    <w:p>
      <w:r>
        <w:t>A/2477/2010 - 11/11 -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