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ATAS/977/2022 vom 9. November 2022</w:t>
      </w:r>
    </w:p>
    <w:p>
      <w:r>
        <w:t>GE Cour de justice, 2022-11-09, FR</w:t>
      </w:r>
    </w:p>
    <w:p>
      <w:r>
        <w:rPr>
          <w:b/>
        </w:rPr>
        <w:t xml:space="preserve">Quelle: </w:t>
      </w:r>
      <w:r>
        <w:t>https://mcp.opencaselaw.ch/entscheid/ge_gerichte_ATAS_977_2022</w:t>
      </w:r>
    </w:p>
    <w:p>
      <w:r>
        <w:t>FR: GE_GERICHTE ATAS/977/2022 du 9 novembre 2022</w:t>
      </w:r>
    </w:p>
    <w:p>
      <w:r>
        <w:t>IT: GE_GERICHTE ATAS/977/2022 del 9 novembre 2022</w:t>
      </w:r>
    </w:p>
    <w:p>
      <w:pPr>
        <w:pStyle w:val="Heading2"/>
      </w:pPr>
      <w:r>
        <w:t>Erwägungen</w:t>
      </w:r>
    </w:p>
    <w:p>
      <w:r>
        <w:rPr>
          <w:b/>
        </w:rPr>
        <w:t>E. 11</w:t>
      </w:r>
    </w:p>
    <w:p>
      <w:r>
        <w:t>octobre 2019. L’expertisé n’avait actuellement aucune plainte somatique</w:t>
      </w:r>
    </w:p>
    <w:p>
      <w:r>
        <w:t>A/592/2020 - 7/20 - significative à faire valoir. Les atteintes constatées au niveau de l’épaule gauche étaient dans un rapport de causalité certain avec l’accident, avec une probabilité de 100%. Il apparaissait à l’anamnèse que l’expertisé, malgré un épisode douloureux survenu quelques années avant le traumatisme, ne présentait avant l’accident du 13 juillet 2018 aucune symptomatologie douloureuse ou gêne fonctionnelle de son épaule. Il exerçait en effet son travail de coach sportif et ses activités sportives sans plaintes ni limitations. Il s’agissait d’un assuré qui avait présenté des problèmes d’épaules quelques années auparavant, lesquels étaient documentés par une IRM en mai 2016. Cette IRM ainsi que l’arthro-IRM du 22 février 2019 avaient été interprétées par le docteur K______, spécialiste en radiologie de l’épaule, afin d’en avoir une interprétation comparative hautement qualifiée. Dans son rapport du 7 février 2022, ce dernier avait constaté, malgré la difficulté de comparer ces deux examens, une extension des lésions du sous- scapulaire entre 2016 et 2019. Il était clair que ce tendon présentait en 2016 des lésions normales pour l’âge du patient et qu’un traumatisme adéquat, à savoir une chute dans les escaliers d’une hauteur de dix marches, en plus d’avoir occasionné un traumatisme sévère du genou, avait pu provoquer une lésion de la coiffe des rotateurs chez ce patient de 56 ans. De plus, la prise en charge immédiate par une infiltration avait différé l’expression de cette lésion traumatique, ce qui expliquait l’apparition « tardive » des plaintes. Par ailleurs, dès lors que cette affection avait été reconnue et traitée adéquatement par une intervention chirurgicale, une évolution très rapide avait été observée en six mois, étant relevé que dans les affections chroniques, l’évolution post-opératoire prenait généralement de 8 à</w:t>
      </w:r>
    </w:p>
    <w:p>
      <w:r>
        <w:rPr>
          <w:b/>
        </w:rPr>
        <w:t>E. 12</w:t>
      </w:r>
    </w:p>
    <w:p>
      <w:r>
        <w:t>mois. Sur les bases de l’anamnèse d’un polytraumatisme adéquat, de l’imagerie radiologique, qui ne montrait aucun signe de dégénérescence graisseuse ou d’atrophie musculaire et de la rapidité de l’évolution post- opératoire, on pouvait estimer que le lien de causalité entre le traumatisme et la lésion était certain. De plus, l’examen de l’épaule réalisé pour l’expertise révélait qu’actuellement la récupération était complète et indolore, ce qui démontrait que la prise en charge avait été adéquate et efficace. La déchirure du tendon sous-scapulaire du recourant n’était pas due ou partiellement due à un état antérieur. Le traumatisme adéquat avait déchiré un tendon naturellement affaibli par l’âge. Le statu quo ante avait été atteint le 11 octobre 2019. L’accident n’avait pas décompensé un état maladif préexistant. L’atteinte préalable de la coiffe des rotateurs n’était pas à considérer comme une maladie, mais plutôt comme une évolution naturelle que l’on trouvait chez les patients à partir de 40 ans. Il s’agissait d’un état physiologique normal pour l’âge du patient et non d’une maladie. Un état dégénératif n’était pas une maladie. Le patient avait été arrêt de travail immédiatement après son accident et avait repris une activité à 100% le 11 octobre 2019. Depuis lors sa capacité était complète. La capacité de travail de l’expertisé dans son activité habituelle, compte tenu des seules atteintes en rapport de causalité avec l’accident, était de 100%.</w:t>
      </w:r>
    </w:p>
    <w:p>
      <w:r>
        <w:t>A/592/2020 - 8/20 - Le bilan IRM comparatif montrait un assuré qui présentait des lésions liées à son âge et non à une maladie préexistante. Il semblait dès lors logique de considérer que le traumatisme adéquat dont avait été victime l’expertisé était à l’origine de la symptomatologie qu’il avait présentée dans les suites et qu’une fois soignée et opérée, la situation était rapidement revenue à son état antérieur. De plus, une étude récente démontrait qu’il n’y avait pas de différence histologique entre une lésion aiguë de la coiffe et une lésion dégénérative. Dès lors que les lésions dégénératives et traumatiques étaient identiques, c’était la nature de l’événement déclenchant qu’il fallait considérer pour faire la part entre le vieillissement et le traumatisme. Il apparaissait de ce fait évident au Dr I______ que l’accident, même s’il était survenu sur un terrain affaibli par l’âge, était bien le seul responsable de la lésion de la coiffe. Il ne pouvait être en accord avec le diagnostic de contusion simple de l’épaule posé par le Dr H______, car il existait une différence significative des lésions du sous-scapulaire entre l’examen de mai 2016 et celui de février 2019, référence faite au rapport du Dr K______. Dans ses conclusions, le Dr H______ ne reconnaissait qu’une contusion dans le cadre d’un état pathologique préexistant. D’autre part, l’expertisé avait été victime dans le même temps d’un traumatisme important du genou, qui avait bénéficié d’une intervention prise en charge par l’assurance-accidents. Une chute de dix marches dans les escaliers, si elle était capable de créer des lésions ligamentaires et méniscales à un genou, était également capable d’expliquer une atteinte tendineuse atteignant l’épaule. Le terme contusion simple de l’épaule lui semblait dès lors sous-estimer la lésion du patient. S’agissant du rapport du Dr F______ du 5 mars 2019, la description des constats lors de l’intervention qu’il avait pratiquée indiquait qu’il n’y avait pas de lésion dégénérative intra-articulaire et confirmait la présence de la lésion du sous- scapulaire, qui avait été reséquée, avivée et réinsérée par une ancre, associée à une ténodèse du long chef du biceps. D’autre part, dans l’espace sous-acromial, aucun signe évocateur d’un conflit n’avait été constaté par le chirurgien, raison pour laquelle celui-ci n’avait pas complété son intervention par une acromioplastie de décompression. Cette description évoquait très clairement une origine traumatique aux lésions décrites, car l’opérateur avait pris soin de décrire l’absence de signes dégénératifs, soit gléno-huméral, soit de l’espace sous- acromial. Le Dr I______ relevait que la question de savoir qui de l’assurance-accidents ou maladie du patient devait prendre en charge les lésions traumatiques de la coiffe des rotateurs à partir de 40 ans était une question très fréquemment, voire quotidiennement, rencontrée dans son activité de chirurgien de l’épaule. On ne pouvait nier qu’avec l’âge la solidité du tendon était mise à mal, mais il pensait qu’il fallait reconnaître qu’il s’agissait d’une évolution naturelle et non d’une maladie. Ce qui lui apparaissait déterminant dans ces situations toujours délicates, c’était bien évidemment la nature du traumatisme. Si l’on s’en tenait à la</w:t>
      </w:r>
    </w:p>
    <w:p>
      <w:r>
        <w:t>A/592/2020 - 9/20 - définition du traumatisme selon la LAA, l’expertisé avait été victime d’un traumatisme adéquat, susceptible de générer de telles lésions et donc l’assurance- accidents devait prendre ses responsabilités, en s’obligeant à prendre en charge un patient en bonne santé pour son âge, mais avec une fragilité physiologique en relation avec son vieillissement, comme elle l’avait fait pour le traumatisme du genou. On pouvait également s’étonner du délai relativement long entre le traumatisme et la prise en charge diagnostique, puis thérapeutique de la lésion de l’expertisé de l’épaule. Il fallait savoir qu’une infiltration avait été faite dans l’espace sous-acromial très rapidement après le traumatisme. Cette infiltration était susceptible de calmer les douleurs pendant plusieurs mois, ce qui s’était produit chez l’expertisé. Ce type de traitement avait différé la réapparition des plaintes et le bilan IRM de l’épaule qui avait été demandé le Dr F______. De plus, comme l’expertisé avait dû se déplacer avec des cannes pendant plusieurs semaines, il avait surchargé son épaule et lorsque l’effet de stéroïdes avait été dissipé, la symptomatologie avait pu réapparaître. Cela expliquait le délai entre le traumatisme et l’arthro-IRM. L’expert a fixé le retour au statu quo ante au 11 octobre 2019. Il a annexé à son rapport celui établi par le Dr K______ le 7 février 2020, suite à une arthro-IRM de l’épaule gauche du 22 février 2019, lequel concluait à la présence d’une désinsertion distale partielle intra-tendineuse du tendon supra- épineux postérieur, déjà présente sur l’IRM de 2016, et à une désinsertion partielle profonde étendue des 2/3 supérieurs du tendon sub-scapulaire se prolongeant par un fin clivage intra-tendineux. La comparaison par rapport à l’IRM de 2016, sans arthrographie, restait limitée, mais semblait cependant indiquer une extension (post-traumatique ?) des lésions du tendon sub-scapulaire entre 2016 et 2019. Il y avait une fine bursite sous-acromiale et de l’arthrose acromio-claviculaire. h. Le 9 mars 2022, le recourant, estimant que l’expertise du Dr I______ répondait à toutes les exigences permettant de lui accorder une pleine valeur probante, a persisté dans ses conclusions. i. Le 20 avril 2022, l’intimée a estimé que l’expertise ne pouvait se voir reconnaître de force probante et maintenu ses conclusions. j. Le 16 mai 2022, le recourant a conclu à une confrontation en audience contradictoire des Drs I______ et H______.</w:t>
      </w:r>
    </w:p>
    <w:p>
      <w:r>
        <w:t>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A/592/2020 - 10/20 -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Le 1er janvier 2017 est entrée en vigueur la modification du 25 septembre 2015 de la LAA.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1er janvier 2017.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du recourant aux prestations de l’assurance-accidents en relation avec les lésions de son épaule gauche résultant de l’accident du 13 juillet 2018 au-delà du 12 octobre 2018. 5.</w:t>
      </w:r>
    </w:p>
    <w:p>
      <w:r>
        <w:t>5.1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5.2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8C_235/2018 du</w:t>
      </w:r>
    </w:p>
    <w:p>
      <w:r>
        <w:rPr>
          <w:b/>
        </w:rPr>
        <w:t>E. 16</w:t>
      </w:r>
    </w:p>
    <w:p>
      <w:r>
        <w:t>février 2022 ne pouvait se voir reconnaître une valeur probante. En conséquence, l’intimée maintenait intégralement les conclusions prises le 29 mai 2020. 7.1.2 Le 16 mai 2022, le recourant a fait valoir ses plus vives réserves quant à l’impartialité du Dr H______ pour les motifs déjà exposés dans son mémoire de recours du 17 février 2020 ainsi que dans sa réplique du 30 juin 2020. L’arthro- IRM pratiquée le 22 février 2019 avait laissé apparaître une large déchirure de la face articulaire du tendon sous-scapulaire, qui avait justifié l’intervention chirurgicale du 5 mars 2019. De jurisprudence constante, les ruptures de la coiffe des rotateurs étaient des déchirures des tendons et étaient comprises dans le liste exhaustive des lésions corporelles assimilées à un accident et il appartenait à ne pas douter à l’intimée de prester. En tout état de cause, un état dégénératif préexistant ne permettait pas à l’intimée de se soustraire à ses obligations, car les prestations pour soins et les remboursements des frais n’étaient pas réduits lorsque l’atteinte à la santé n’était que partiellement imputable à l’accident. La détermination du Dr H______ se limitait, à l’instar de son expertise initiale, à des considérations d’ordre général qui relevaient plus d’une approche dogmatique</w:t>
      </w:r>
    </w:p>
    <w:p>
      <w:r>
        <w:t>A/592/2020 - 17/20 - au service des intérêts de sa mandante que de la rigueur scientifique. Singulièrement et s’agissant de ses conclusions critiques visant l’expertise du Dr I______, il fallait observer que si les deux épaules de l’expertisé présentaient une usure similaire, comme le prétendait le Dr H______, le recourant ne souffrait aucunement de son épaule droite. 7.2 7.2.1 En l’espèce, le rapport du Dr I______ répond aux réquisits pour se voir reconnaître une pleine valeur probante. Il a motivé ses conclusions et précisé pourquoi il retenait un lien de causalité naturelle avec l’accident. Il a indiqué à cet égard qu’une chute d’une hauteur de dix marches, en plus d’avoir occasionné un traumatisme sévère du genou, avait pu provoquer une lésion de la coiffe des rotateurs chez le recourant, qui était âgé de 56 ans. De plus, la prise en charge immédiate par une infiltration avait différé l’expression de cette lésion traumatique, ce qui expliquait l’apparition tardive des plaintes. Par ailleurs, dès lors que cette affection avait été reconnue et traitée adéquatement par une intervention chirurgicale, une évolution très rapide avait été observée en six mois, étant relevé que dans les affections chroniques, l’évolution post-opératoire prenait généralement de 8 à 12 mois. Sur la base de l’anamnèse d’un polytraumatisme adéquat, de l’imagerie radiologique qui ne montrait aucun signe de dégénérescence graisseuse ou d’atrophie musculaire, et de la rapidité de l’évolution post-opératoire, on pouvait estimer, selon l’expert, que le lien de causalité entre le traumatisme et la lésion était certain. La déchirure du tendon sous-scapulaire du recourant n’était pas due ou était partiellement due à un état antérieur. Le traumatisme adéquat avait déchiré un tendon naturellement affaibli par l’âge. L’expert a également fondé ses conclusions sur la comparaison de l’état de l’épaule gauche du recourant faite par le Dr K______ entre l’IRM du 27 mai 2016 et l’arthro-IRM du 22 février 2019. Sa conclusion selon laquelle l’accident, même s’il était survenu sur un terrain affaibli par l’âge, était le seul responsable de la lésion de la coiffe paraît toutefois excessive. Il apparaît en effet vraisemblable que le fait que le recourant présentait des lésions liées à son âge ait pu contribuer à l’atteinte de son épaule. Quoi qu’il en soit, même si cela était le cas, il n’apparait pas contestable que l’accident a eu un rôle causal dans l’atteinte, au vu de son déroulement, qui était d’une certaine intensité, puisque le recourant a chuté dans les escaliers avec un choc sur l’épaule gauche. Cette conclusion est corroborée par le fait que l’autre épaule du recourant, qui avait des lésions préexistantes similaires, n’a pas subi les mêmes lésions. Les conclusions du Dr I______ ne se limitent ainsi pas à des considérations post hoc, ergo propter hoc. Le Dr H______ a d’ailleurs lui-même admis que l’accident avait révélé des troubles structurels préexistants, ce qui suffit à retenir un lien de causalité en application de l’art. 36 LAA Il n’apparaît ainsi pas contestable que l’accident a, à tout le moins, causé partiellement la cause de l’atteinte à la santé, de sorte que l’intimée devait prendre en charge le cas tant que l'état maladif</w:t>
      </w:r>
    </w:p>
    <w:p>
      <w:r>
        <w:t>A/592/2020 - 18/20 - antérieur n’était pas revenu au stade où il se trouvait avant l'accident (statu quo ante) ou jusqu’au moment il était parvenu au stade d'évolution qu'il aurait atteint sans l'accident (statu quo sine). Selon l’art. 3 al. 1 LPGA, est réputée maladie toute atteinte à la santé physique, mentale ou psychique qui n’est pas due à un accident et qui exige un examen ou un traitement médical ou provoque une incapacité de travail. La question de savoir si la lésion préexistante à l’épaule du recourant doit être qualifiée de maladie n’est pas déterminante en l’occurrence et peut rester ouverte, dès lors que l’art. 36 LAA prévoit que les prestations de l’assurance-accidents ne sont pas réduites lorsque l'atteinte à la santé n'est que partiellement imputable à l'accident, sans préciser à quelle autre cause elle pourrait être partielle due, de sorte que la conséquence du vieillissement pourrait constituer une telle cause, sans que ce soit forcément imputable à une maladie. La critique que l’on peut ainsi faire sur les conclusions du Dr I______ relève du domaine juridique, plus particulièrement sur la notion de maladie, et non du domaine médical. Elle ne remet dès lors pas en cause la valeur probante générale de son rapport, qui répond aux réquisits pour se voir reconnaître une pleine valeur probante. Les conclusions de l’expertise judiciaire sont en outre corroborées par les constats du Dr F______ lors de l’intervention à laquelle celui-ci a procédé, tels qu’ils ressortent du rapport établi par celui-ci le 5 mars 2019. En effet, il avait constaté qu’il n’y avait pas de lésion dégénérative intra-articulaire et qu’il y avait une lésion du sous-scapulaire. L’expert judiciaire a considéré que cette description évoquait très clairement une origine traumatique aux lésions décrites, car l’opérateur avait pris soin de décrire l’absence de signes dégénératifs, soit gléno- huméral, soit de l’espace sous-acromial. Le fait que le Dr F______ ait des liens professionnels avec l’expert judiciaire, en lien avec le Centre de l'épaule, à la Clinique de la Tour, ne remet pas sérieusement en doute l’indépendance du Dr I______, étant relevé qu’ils exercent principalement leur activité dans des cabinets médicaux distincts. La chambre de céans a jugé nécessaire de faire procéder à une expertise judiciaire, ne reconnaissant pas une force probante à celle du Dr H______. Son rapport ainsi que son rapport complémentaire du 23 mars 2022 ne suffisent par conséquent pas à remettre en cause les conclusions de l’expertise judiciaire. En conclusion, il convient de reconnaître une pleine force probante à cette dernière. Il apparaît dès lors inutile de procéder à une confrontation entre les Drs I______ et H______. 7.2.2 Sur la base des conclusions de l’expertise judiciaire, il faut retenir que le recourant a droit aux prestations de l’intimée en relation avec les lésions de son</w:t>
      </w:r>
    </w:p>
    <w:p>
      <w:r>
        <w:t>A/592/2020 - 19/20 - épaule gauche résultant de l’accident du 13 juillet 2018 jusqu’au 11 octobre 2019, date à laquelle le statu quo ante a été atteint, selon l’expert. 8. Le recours est ainsi admis et la décision sur opposition du 15 janvier 2020 sera annulée. Le recourant obtenant gain de cause et étant assisté d’un conseil, il a droit à des dépens qui seront fixés à CHF 3'000.- et mis à la charge de l’intimée (art. 61 let. g LPGA).</w:t>
      </w:r>
    </w:p>
    <w:p>
      <w:r>
        <w:t>A/592/2020 - 20/20 -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