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ATAS/977/2015 vom 18. Dezember 2015</w:t>
      </w:r>
    </w:p>
    <w:p>
      <w:r>
        <w:t>GE Cour de justice, 2015-12-18, FR</w:t>
      </w:r>
    </w:p>
    <w:p>
      <w:r>
        <w:rPr>
          <w:b/>
        </w:rPr>
        <w:t xml:space="preserve">Quelle: </w:t>
      </w:r>
      <w:r>
        <w:t>https://mcp.opencaselaw.ch/entscheid/ge_gerichte_ATAS_977_2015</w:t>
      </w:r>
    </w:p>
    <w:p>
      <w:r>
        <w:t>FR: GE_GERICHTE ATAS/977/2015 du 18 décembre 2015</w:t>
      </w:r>
    </w:p>
    <w:p>
      <w:r>
        <w:t>IT: GE_GERICHTE ATAS/977/2015 del 18 dicembre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ayant été déposé dans le respect des forme et délai légaux, il y a lieu d'entrer en matière.</w:t>
      </w:r>
    </w:p>
    <w:p>
      <w:r>
        <w:rPr>
          <w:b/>
        </w:rPr>
        <w:t>E. 3</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w:t>
      </w:r>
    </w:p>
    <w:p>
      <w:r>
        <w:t>A/87/2015 - 8/21 - transitoires contraires, le nouveau droit s'applique sans réserve dès le jour de son entrée en vigueur (ATF 117 V 93 consid. 6b; ATF 112 V 360 consid. 4a; RAMA 1998 KV 37 p. 316 consid. 3b). En l'espèce, la décision litigieuse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4</w:t>
      </w:r>
    </w:p>
    <w:p>
      <w:r>
        <w:t>Est litigieuse en l'espèce la suppression de la demi-rente d'invalidité versée à la recourante sous l'angle des dispositions finales de la LAI relatives à la 6ème révision de l'AI.</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le 1er janvier 2008). Pour évaluer le taux d'invalidité, le revenu que l'assuré aurait pu obtenir s'il n'était pas invalide est donc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Selon la let. a al. 1 des dispositions finales de la LAI concernant la modification du 18 mars 2011 (6ème révision, entrée en vigueur le 1er janvier 2012), les rentes octroyées en raison d'un syndrome sans pathogenèse ni étiologie claires et sans constat de déficit organique sont réexaminées dans un délai de trois ans à compter de l'entrée en vigueur de la modification. Si les conditions visées à l'art. 7 LPGA ne sont pas remplies, la rente sera réduite ou supprimée, même si les conditions de l'art. 17 al. 1 LPGA (concernant la révision en cas de modification notable du taux d’invalidité) ne sont pas remplies (let. a al. 1 des dispositions finales de la LAI concernant la modification du 18 mars 2011).</w:t>
      </w:r>
    </w:p>
    <w:p>
      <w:r>
        <w:t>A/87/2015 - 9/21 - L'al. 4 de la let. a précise que l'al. 1 ne s'applique pas aux personnes qui ont atteint 55 ans au moment de l'entrée en vigueur de la modification, ou qui touchent une rente de l'assurance-invalidité depuis plus de quinze ans au moment de l'ouverture de la procédure de réexamen.</w:t>
      </w:r>
    </w:p>
    <w:p>
      <w:r>
        <w:rPr>
          <w:b/>
        </w:rPr>
        <w:t>E. 7</w:t>
      </w:r>
    </w:p>
    <w:p>
      <w:r>
        <w:t>Un arrêt du Tribunal fédéral a précisé les conditions auxquelles un réexamen du droit de la rente sur la base de la let. a al. 1 des dispositions finales pouvait avoir lieu (cf. arrêt 8C_972/2012 du 31 octobre 2013 consid. 10 ; cf. également arrêt 9C_748/2013). Ainsi, il n'est pas nécessaire qu'une modification notable de l'état de santé au sens de l'art. 17 LPGA soit intervenue. En outre, la rente d'invalidité versée jusqu’alors doit avoir été accordée uniquement ("ausschliesslich") en raison d'un syndrome sans pathogenèse ni étiologie claires et sans constat de déficit organique, au nombre desquels on compte la fibromyalgie (ATF 132 V 65). Au moment de la révision, seul ce diagnostic doit subsister; il convient également d'examiner si l'état de santé s'est dégradé (consid. 10.1.2 de l'arrêt cité). Enfin, il faut vérifier si les «critères de Foerster» sont remplis et s'ils permettent de conclure au caractère invalidant du trouble somatoforme douloureux (consid. 10.1.3 de l'arrêt cité).</w:t>
      </w:r>
    </w:p>
    <w:p>
      <w:r>
        <w:rPr>
          <w:b/>
        </w:rPr>
        <w:t>E. 8</w:t>
      </w:r>
    </w:p>
    <w:p>
      <w:r>
        <w:t>La recourante soutient que la 6ème révision de l’AI ne lui est pas applicable car, selon elle, la demi-rente dont elle a bénéficié lui a été octroyée en raison de plusieurs atteintes à la santé. En l'espèce, la décision initiale d'octroi de rente du 11 mai 2004 repose sur plusieurs rapports médicaux. Le Dr B______ a ainsi conclu à une fibromyalgie claire et à une probable épicondylite du coude gauche, tout en précisant que celle-ci avait été traitée par infiltrations de stéroïdes (cf. son rapport du 23 février 2000). L’expert C______ a conclu à un probable trouble somatoforme douloureux, en relevant l’absence d’arguments pour le moindre diagnostic psychique. Quant au rapport d’examen bidisciplinaire des Drs E______, et F______, il mentionnait certes plusieurs autres diagnostics, en dehors du trouble somatoforme douloureux (trouble dépressif récurrent, épisode moyen, personnalité émotionnellement labile à traits dépendants, discrets troubles statiques rachidiens assortis d’atteintes spondyloarthrosiques aux derniers étages, suspicion de syndrome du tunnel carpien irritatif et obésité), mais, contrairement à ce que soutient la recourante, on ne voit pas que l’incapacité de travail de 50% retenue l’aurait été pour d’autres motifs que le trouble somatoforme douloureux : le syndrome du tunnel carpien irritatif était seulement soupçonné et le trouble statique rachidien qualifié de « discret ». Quant au trouble dépressif récurrent moyen, il faisait partie intégrante du trouble somatoforme et n’atteignait pas non plus un degré de gravité suffisant pour se voir reconnaître un caractère invalidant à lui seul (l’expert C______ avait d’ailleurs, pour sa part, exclu toute atteinte psychique). On relèvera d’ailleurs que, même par la suite, le médecin traitant, dans un rapport rédigé en janvier 2010 n’invoquait, pour justifier l’incapacité de travail, qu’un état algique important. Force est donc de constater que c’est bel et bien uniquement le seul trouble somatoforme douloureux qui a justifié initialement l’octroi d’une demi-rente d’invalidité à la recourante.</w:t>
      </w:r>
    </w:p>
    <w:p>
      <w:r>
        <w:t>A/87/2015 - 10/21 - Reste à examiner si, au moment de la révision, entamée fin 2012, seul ce diagnostic subsiste. En décembre 2012, le médecin traitant a qualifié l’état de sa patiente de stationnaire. Le psychiatre traitant a en revanche fait état d’une aggravation du trouble de l’humeur, qualifié désormais de « sévère », ce que n’ont pas corroboré par les experts du CEMed, qui, eux, l’ont qualifié de «léger ». S’ils ont certes retenu d’autres diagnostics que celui de trouble somatoforme douloureux, ils les ont jugés sans incidence sur la capacité de travail de l’intéressée. S’il ressort de ces éléments que la recourante souffre encore, en sus d'un trouble somatoforme douloureux persistant, d’une rachialgie chronique et, éventuellement, d’angoisse, ces atteintes ne sont pas considérées par les experts comme susceptibles d’entrainer une diminution de la capacité de travail et donc de gain. Enfin, il faut vérifier si les «critères de Foerster» sont remplis et s'ils permettent de conclure au caractère invalidant du trouble somatoforme douloureux.</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10</w:t>
      </w:r>
    </w:p>
    <w:p>
      <w:r>
        <w:t>Le Tribunal fédéral a durant longtemps déterminé les conditions auxquelles des tableaux cliniques psychosomatiques (cf. ATF 137 V 64, consid. 4.3, p. 69) pouvaient donner droit à une rente d’invalidité (ATF 130 V 352, consid. 2.2.2, p. 353, ATF 131 V 49, consid. 1.2, p. 50) en se basant sur la présomption qu’il était possible de surmonter un trouble douloureux somatoforme ou ses effets par un</w:t>
      </w:r>
    </w:p>
    <w:p>
      <w:r>
        <w:t>A/87/2015 - 11/21 -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 psychiatrique importante par sa gravité, son acuité et sa durée. Les autres critères déterminants étaient : la présence d’affections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 fuite dans la maladie ») et l'échec de traitements ambulatoires ou stationnaires conformes aux règles de l’art (même avec différents types de traitement), en dépit de l'attitude coopérative de le personne assurée (ATF 130 V 352). Mais dans un arrêt récent (9C_492/2014 du 3 juin 2015), notre Haute Cour a repensé la jurisprudence établie depuis l’ATF 130 V 352 en tenant compte, d’une part, de l’expérience accumulée au cours des onze années s’étant écoulées depuis cet arrêt de principe, d’autre part, des critiques formulées par la doctrine médicale et juridique à l’encontre de cette jurisprudence et de sa mise en œuvre. Le Tribunal fédéral a dû convenir que la présomption du caractère surmontable retenue jusqu’alors s’opposait à deux égards à une investigation complète des circonstances déterminantes pour l’incapacité de travail : d’une part, la focalisation sur des indices pouvant éventuellement renverser la présomption avait pour conséquence que l’on cherchait avant tout des aspects invalidants, alors que les ressources avaient tendance à être négligées, d’autre part, la présomption du caractère surmontable incitait parfois à sélectionner sur la base des critères les éléments de fait déterminants de manière à ce que le cas type soit réalisé, ce qui conduisait à une schématisation contraire à la libre appréciation des preuves et à l’application d’office du droit. Au surplus, la présomption favorisait la conception que le caractère surmontable était indivisible, de sorte que seule une incapacité de travail entière pouvait entrer en considération (arrêt op. cit. consid. 3.4.2). Fort de ce constat,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w:t>
      </w:r>
    </w:p>
    <w:p>
      <w:r>
        <w:t>A/87/2015 - 12/21 - Il sied toutefois de souligner que l’abandon de la présomption du caractère surmontable de la douleur n’a pas d’influence sur l’exigibilité et la nécessité d’une preuve objective : il n'y a incapacité de gain que si celle-ci n'est pas objectivement surmontable.</w:t>
      </w:r>
    </w:p>
    <w:p>
      <w:r>
        <w:rPr>
          <w:b/>
        </w:rPr>
        <w:t>E. 11</w:t>
      </w:r>
    </w:p>
    <w:p>
      <w:r>
        <w:t>Les observations médicales constituent le point de départ de l’examen du droit à la rente : une limitation de la capacité de travail ne peut donner droit à des prestations que si elle résulte d’une atteinte à la santé ayant fait l’objet d’un diagnostic indiscutable, établi par un médecin spécialiste de la discipline concernée et s'appuyant lege artis sur les critères d'un système de classification reconnu (arrêt op. cit., consid. 2.1 ; ATF 130 V 396 consid. 5.3).</w:t>
      </w:r>
    </w:p>
    <w:p>
      <w:r>
        <w:rPr>
          <w:b/>
        </w:rPr>
        <w:t>E. 12</w:t>
      </w:r>
    </w:p>
    <w:p>
      <w:r>
        <w:t>Le diagnostic du syndrome douloureux somatoforme persistant basé sur les concepts du système médical de classification n’amenant à constater une importante atteinte à la santé relevant du droit de l’assurance-invalidité que si le diagnostic est valable également du point de vue des motifs d’exclusion cités dans l’ATF 131 V 49, il conviendra également que les experts se prononcent sur l’existence ou non de ceux-ci (limitation résultant d'une exagération des symptômes ou d'une constellation semblable [se manifestant par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ou encore, l'allégation de lourds handicaps malgré un environnement psychosocial intact], étant précisé qu’un simple comportement explicite n’indique pas en soi une exagération ; arrêt op. cit. consid. 2.2.1).</w:t>
      </w:r>
    </w:p>
    <w:p>
      <w:r>
        <w:rPr>
          <w:b/>
        </w:rPr>
        <w:t>E. 13</w:t>
      </w:r>
    </w:p>
    <w:p>
      <w:r>
        <w:t>Comme pour toutes les autres atteintes à la santé psychique, le diagnostic de troubles somatoformes douloureux persistants ne constitue pas encore une base suffisante pour conclure à une invalidité.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w:t>
      </w:r>
    </w:p>
    <w:p>
      <w:r>
        <w:t>A/87/2015 - 13/21 - aux prestations ne peut être assurée de manière conforme à l'égalité de traitement des assurés.</w:t>
      </w:r>
    </w:p>
    <w:p>
      <w:r>
        <w:rPr>
          <w:b/>
        </w:rPr>
        <w:t>E. 14</w:t>
      </w:r>
    </w:p>
    <w:p>
      <w:r>
        <w:t>La nouvelle approche préconisée par le Tribunal fédéral entraîne des adaptations dans la formulation des indicateurs et un certain élargissement matériel des aspects déterminants de l’examen. S’il est ainsi possible de se baser sur la liste de critères utilisée jusqu’alors, cette liste doit cependant être utilisée en tenant toujours compte des circonstances du cas particulier (il ne s’agit pas d’une « check-list où il suffit de cocher des rubriques ») et elle n’est pas non plus immuable en tant que telle mais ouverte aux connaissances médicales nouvellement établies qui, en tant que réalités juridiques, marquent la conception de la liste de leur empreinte (cf. arrêt op. cit. consid. 4.1.1). Il s’impose dès lors d’abandonner l’importance prioritaire de la comorbidité psychique et de renoncer à faire référence au bénéfice primaire de la maladie.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w:t>
      </w:r>
    </w:p>
    <w:p>
      <w:r>
        <w:rPr>
          <w:b/>
        </w:rPr>
        <w:t>E. 15</w:t>
      </w:r>
    </w:p>
    <w:p>
      <w:r>
        <w:t>1. Le premier indicateur mentionné est celui de « l’expression des éléments pertinents pour le diagnostic et des symptômes ». A cet égard, on attend des experts que leurs constatations relatives aux manifestations concrètes de l’atteinte à la santé diagnostiquée permettent de distinguer les limitations fonctionnelles qui résultent de l’atteinte des conséquences (directes) de facteurs non assurés. Le point de départ est le degré de gravité minimal inhérent au diagnostic. C’est dans ce cadre qu’il convient d’examiner, par exemple, s’il y a exagération sans qu’il faille a priori exclure de ce fait une atteinte à la santé significative sur le plan juridique. La gravité de l’évolution de la maladie doit aussi être rendue plausible à l’aide de tous les éléments disponibles provenant de l’étiologie et de la pathogenèse déterminantes pour le diagnostic. Si la description du trouble douloureux somatoforme dans la CIM-10, chiffre F45.4 met notamment en évidence des facteurs étiologiques (la caractéristique du trouble est qu’il survient « dans un contexte de conflits émotionnels et de problèmes psycho- sociaux » qui jouent le rôle principal pour le début, le degré de gravité, l’exacerbation ou la persistance des douleurs), en revanche, la notion du bénéfice primaire de la maladie ne doit plus être utilisée pour estimer le degré de gravité de la maladie (arrêt op. cit. consid. 4.3.1.1.). 2. Le second indicateur mentionné est le succès du traitement ou la résistance à cet égard, c’est-à-dire l’évolution et le résultat des thérapies.</w:t>
      </w:r>
    </w:p>
    <w:p>
      <w:r>
        <w:t>L’échec définitif d’une thérapie médicalement indiquée, réalisée lege artis sur un assuré qui coopère de manière optimale, permet de conclure à un pronostic négatif, alors qu’on ne pourra rien déduire s’agissant du degré de gravité de la pathologie si,</w:t>
      </w:r>
    </w:p>
    <w:p>
      <w:r>
        <w:t>A/87/2015 - 14/21 - en revanche, le traitement resté sans résultat ne correspond pas (ou plus) à l’état actuel de la médecine ou paraît inapproprié dans le cas d’espèce. Les troubles psychiques de type somatoforme ne sont considérés comme invalidants que s’ils sont graves et qu’ils ne peuvent pas (ou plus) être traités médicalement, ce qui découle a contrario de la jurisprudence constante (parmi beaucoup d’autres jugement 9C_736/2011 du 7 février 2012, consid. 4.2.2.1 et autres références citées) à laquelle le Tribunal fédéral considère qu’il convient de se tenir. En cas de maladie de relativement courte durée - donc pas encore devenue vraiment chronique -, des options thérapeutiques devraient généralement encore exister et une résistance au traitement devrait donc être exclue. Sans une accentuation de la douleur à long terme, une incapacité de travail invalidante n’est guère imaginable ; il en va déjà de même pour le diagnostic. Des déductions sur le degré de gravité de l’atteinte à la santé peuvent être tirées non seulement du traitement médical mais aussi de la réadaptation au sens juridique. Lorsque de telles mesures entrent en considération après une évaluation médicale et que l’organe d’exécution les offre mais que la personne demandant une rente n’y participe pas, cela est considéré comme un indice sérieux d’une atteinte non invalidante. A l’inverse, une réadaptation qui se conclut par un échec en dépit d’une coopération optimale de la personne assurée peut être significative dans le cadre d’un examen global tenant compte des circonstances du cas particulier (arrêt op. cit. consid. 4.3.1.2) 3. Le troisième indicateur réunit les anciens critères de « comorbidité psychiatrique » et de « maladies physiques concomitantes », en vertu de la nécessité de l’approche globale des interactions et autres corrélations du trouble douloureux avec l’ensemble des pathologies concomitantes préconisée par le Tribunal fédéral.</w:t>
      </w:r>
    </w:p>
    <w:p>
      <w:r>
        <w:t>Il est renoncé à l’importance prépondérante accordée jusqu’alors à la comorbidité psychiatrique : la comorbidité psychique n’est plus prioritaire de manière générale mais ne doit être prise en considération qu’en fonction de son importance concrète dans le cas d’espèce, par exemple pour juger si elle prive la personne assurée de ressources. L’importance accordée jusque-là à « sa gravité, son acuité et sa durée » n’est plus relevante. La nécessité d’une approche globale est en principe applicable indépendamment de la situation de la relation entre le syndrome douloureux et la comorbidité. C’est pourquoi, par exemple, une dépression ne perd plus toute signification en tant que facteur d’affaiblissement potentiel des ressources du seul fait de sa connexité médicale (éventuelle) avec le trouble douloureux. Toutefois, les tableaux cliniques qui apparaissent comme de simples variantes de la même entité dans des qualifications différentes sur le plan diagnostique sur la base de symptômes identiques ne constituent d’emblée pas une comorbidité. Sinon, l’atteinte à la santé pouvant être qualifiée et décrite de plusieurs manières serait évaluée à double.</w:t>
      </w:r>
    </w:p>
    <w:p>
      <w:r>
        <w:t>A/87/2015 - 15/21 -</w:t>
      </w:r>
    </w:p>
    <w:p>
      <w:r>
        <w:t>Un trouble qui, selon la jurisprudence, ne peut pas être invalidant en tant que tel, n’est pas une comorbidité mais doit à la rigueur être pris en considération dans le cadre du diagnostic de la personnalité.</w:t>
      </w:r>
    </w:p>
    <w:p>
      <w:r>
        <w:t>Le Tribunal fédéral, s’interrogeant sur l’existence d’une relation linéaire entre le nombre de douleurs physiques ne s’expliquant pas suffisamment d’un point de vue organique et le degré de gravité de l’atteinte fonctionnelle, a souligné qu’il convenait d’éviter de retomber dans un examen schématique de type « plus le nombre des diverses plaintes est grand, plus les limitations fonctionnelles sont élevées » ; le risque serait alors que, dans la pratique, les symptômes et les résultats médicaux soient simplement juxtaposés et évalués de manière purement mécanique et quantitative, ce qui fausserait le regard sur l’effet global du tableau clinique pour établir le statut fonctionnel (arrêt op. cit. consid. 4.3.1.3) 4. A ces trois premiers indicateurs concernant le degré de gravité fonctionnel de l’atteinte à la santé, s’ajoute un quatrième, relatif à la personnalité. En effet, du fait de la prise en compte renforcée des ressources, le complexe de la personnalité (développement et structure de la personnalité, fonctions psychiques fondamentales) gagne en importance. Cela recouvre non seulement les formes classiques du diagnostic de la personnalité - qui vise à saisir la structure et les troubles de la personnalité - , mais également le concept de ce qu’on appelle les « fonctions complexes du Moi » - qui désigne les capacités inhérentes à la personnalité. Il s’agit de tirer des déductions sur la capacité de travail (conscience de soi et de l’autre, épreuve de réalité et la formation du jugement, contrôle des affects et des impulsions, capacité à se référer à un objet, motivation, notamment) et de clarifier les répercussions fonctionnelles de l’atteinte à la santé. Mais, vu que le diagnostic de la personnalité dépend dans une plus forte mesure du médecin qui effectue les examens que d’autres indicateurs, les exigences en matière de motivation sont ici particulièrement élevées (cf. arrêt op. cit. consid. 4.3.2). 5. Enfin, le contexte social, qui influence aussi la manière dont se manifestent concrètement les effets de l’atteinte à la santé, constitue un cinquième indicateur. A ce sujet, il y a deux choses à retenir : d’une part, dans la mesure où elles ont directement des conséquences fonctionnelles négatives, les contraintes sociales continuent à ne pas être prises en considération. D’autre part, des ressources (mobilisables) peuvent aussi être tirées du contexte de vie de la personne assurée, notamment le soutien dont elle bénéficie dans son réseau social. Il faut toujours s’assurer que l’incapacité de gain pour des raisons de santé, d’une part, et l’absence de revenus non assurée ou d’autres situations éprouvantes, d’autre part, ne se recouvrent pas (arrêt op. cit. consid. 4.3.3).</w:t>
      </w:r>
    </w:p>
    <w:p>
      <w:r>
        <w:rPr>
          <w:b/>
        </w:rPr>
        <w:t>E. 16</w:t>
      </w:r>
    </w:p>
    <w:p>
      <w:r>
        <w:t>L’aspect de la cohérence étant décisif en matière de preuve (arrêt op. cit. consid. 4.4), des indicateurs sont là aussi envisagés par le Tribunal fédéral. 1. En premier lieu, celui de la limitation uniforme du niveau d’activité dans tous les domaines comparables de la vie, qui revient à se demander si la limitation en</w:t>
      </w:r>
    </w:p>
    <w:p>
      <w:r>
        <w:t>A/87/2015 - 16/21 - question se manifeste de la même manière dans la profession et l’activité rémunérée (ou, pour les personnes sans activité lucrative, dans les actes habituels de la vie), d’une part, et dans les autres domaines de la vie (p. ex. l’organisation des loisirs), d’autre part. L’ancien critère du retrait social doit être interprété de telle sorte qu’il ne se réfère pas qu’à des limitations mais concerne aussi les ressources ; à l’inverse, un retrait conditionné par une maladie peut cependant aussi diminuer encore les ressources. Il est recommandé d’effectuer aussi une comparaison avec le niveau d’activité sociale avant la survenance de l’atteinte à la santé. Le niveau d’activité de la personne assurée doit toujours être considéré en relation avec l’incapacité de travail alléguée (arrêt op. cit. consid. 4.4.1). 2. En second lieu, la prise en compte d’options thérapeutiques, autrement dit la mesure dans laquelle les traitements sont mis à profit ou alors négligés, permet (en complément au point de vue du succès du traitement et de la réadaptation ou de la résistance à ceux-ci) d’évaluer le poids effectif des souffrances. Tel n’est toutefois le cas que si le comportement en question n’est pas influencé par la procédure en cours en matière d’assurance. Il ne faut pas conclure à l’absence de lourdes souffrances lorsqu’il est clair que le refus ou la mauvaise acceptation d’une thérapie recommandée et accessible doit être attribué à une incapacité (inévitable) de la personne assurée à reconnaître sa maladie. De manière similaire, il faut tenir compte du comportement de la personne assurée dans le cadre de sa réadaptation professionnelle (et de ses propres efforts de réadaptation) : un comportement manquant de cohérence est, là aussi, un indice que la limitation alléguée serait due à d’autres raisons qu’une atteinte à la santé assurée (arrêt op. cit. consid 4.4.2).</w:t>
      </w:r>
    </w:p>
    <w:p>
      <w:r>
        <w:rPr>
          <w:b/>
        </w:rPr>
        <w:t>E. 17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A/87/2015 - 17/21 -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18</w:t>
      </w:r>
    </w:p>
    <w:p>
      <w:r>
        <w:t>Il convient encore de préciser que les expertises mises en œuvre selon l’ancien standard de procédure ne perdent pas en soi valeur de preuve : il convient de procéder à un examen global du cas particulier avec ses spécificités et les griefs invoqués et d’examiner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suffire (cf. arrêt du TF op. cit. consid. 8).</w:t>
      </w:r>
    </w:p>
    <w:p>
      <w:r>
        <w:rPr>
          <w:b/>
        </w:rPr>
        <w:t>E. 19</w:t>
      </w:r>
    </w:p>
    <w:p>
      <w:r>
        <w:t>En l’espèce, dans la mesure où le diagnostic de trouble somatoforme douloureux a été retenu, il convient d’examiner, à l’aune de la nouvelle jurisprudence du Tribunal fédéral, s’il peut se voir reconnaître un caractère invalidant. En effet, la nouvelle jurisprudence s'applique aux affaires pendantes devant un tribunal au moment du changement (ATF 108 V 3). La Chambre de céans constate que le rapport du CEMed du 29 avril 2014 se fonde sur une anamnèse détaillée, des examens cliniques de la recourante et qu'il tient compte des plaintes rapportées par cette dernière. Il a été établi en pleine connaissance du dossier. A la lecture de l'ensemble des pièces versées au dossier, il n'apparaît pas que les experts du CEMed auraient ignoré des éléments cliniques ou diagnostiques essentiels. Leur appréciation ne diverge de celle du psychiatre traitant que quant au degré de gravité de l’atteinte psychique, mais leur analyse apparaît bien plus motivée que celle du Dr H______. Partant, l'avis divergent du psychiatre traitant concernant la capacité de travail de la recourante n'est pas de nature à mettre sérieusement en doute l’analyse des experts du CEMed. De même, sur le plan physique, les médecins qui se sont prononcés sont unanimes pour reconnaître qu’il n’existe aucune atteinte objective permettant d’expliquer la symptomatologie douloureuse et les plaintes de l’assurée en dehors de quelques troubles du rachis entrainant des limitations fonctionnelles mineures. Si, dans son arrêt, le Tribunal fédéral a notamment abandonné la présomption du caractère surmontable d'un trouble somatoforme douloureux, il a en revanche maintenu, voire renforcé la portée des motifs d'exclusion, aux termes desquels il y a lieu de conclure à l'absence d'une atteinte à la santé ouvrant droit aux prestations d'assurance lorsque les limitations liées à l'exercice d'une activité résultent d'une exagération des symptômes ou d'une constellation semblable.</w:t>
      </w:r>
    </w:p>
    <w:p>
      <w:r>
        <w:t>A/87/2015 - 18/21 - Or, en l’espèce, les experts font état de constats allant dans le sens d'une exagération. Ainsi, ils soulignent, d’une part, que l’examen clinique physique est quasiment normal et, d’autre part, que la symptomatologie dépressive, décrite comme très intense, contraste avec un examen ne montrant que de discrets signes de dépression. Ces éléments justifient d'admettre l'existence de motifs d'exclusion au sens de l'ATF 141 V 281 et de conclure à l'absence d'une atteinte à la santé ouvrant droit aux prestations d'assurance. Il convient donc de retenir, au degré de la vraisemblance prépondérante, que le trouble somatoforme de la recourante n’entraîne aucune limitation au sens de l’assurance-invalidité.</w:t>
      </w:r>
    </w:p>
    <w:p>
      <w:r>
        <w:rPr>
          <w:b/>
        </w:rPr>
        <w:t>E. 20</w:t>
      </w:r>
    </w:p>
    <w:p>
      <w:r>
        <w:t>Il ressort de ce qui précède que les conditions permettant le réexamen de la situation de la recourante sous l’angle de la 6ème révision sont remplies. On ajoutera que l’assurée, né en 1960, n’avait pas atteint l’âge de 55 ans au moment de l’entrée en vigueur de la 6ème révision, en janvier 2012 (cf. let. a al. 4 des dispositions finales de la modification du 18 mars 2011). Cela ne faisait pas 15 ans qu’elle touchait sa rente au moment de l’ouverture de la procédure de réexamen, fin 2012 (cf. let. a al. 4 des dispositions finales de la modification du 18 mars 2011).</w:t>
      </w:r>
    </w:p>
    <w:p>
      <w:r>
        <w:rPr>
          <w:b/>
        </w:rPr>
        <w:t>E. 21</w:t>
      </w:r>
    </w:p>
    <w:p>
      <w:r>
        <w:t>Se pose en revanche la question de savoir si la recourante a droit aux mesures de nouvelle réadaptation. En effet, selon la lettre a al. 2 des dispositions finales de la modification du 18 mars 2011, en cas de réduction ou de suppression de rente, l’assuré a droit aux mesures de nouvelle réadaptation au sens de l’art. 8a. Selon le premier alinéa de cette disposition, les bénéficiaires de rente ont droit à des mesures de nouvelle réadaptation si leur capacité de gain peut, selon toute vraisemblance, être améliorée et si ces mesures sont de nature à améliorer leur capacité de gain. Selon le second alinéa, les mesures de nouvelle réadaptation destinées aux bénéficiaires de rente comprennent : a. des mesures de réinsertion préparant à la réadaptation professionnelle; b. des mesures d’ordre professionnel; c. la remise de moyens auxiliaires; d. l’octroi de conseils et d’un suivi aux bénéficiaires de rente et à leur employeur. La lettre a al. 3 des dispositions finales de la modification du 18 mars 2011 précise que, durant la mise en œuvre de telles mesures, l’assurance continue de verser la rente à l’assuré, mais au plus pendant deux ans à compter du moment de la suppression ou de la réduction de la rente.</w:t>
      </w:r>
    </w:p>
    <w:p>
      <w:r>
        <w:t>A/87/2015 - 19/21 - En l’espèce, la recourante reproche à l’intimé de ne pas avoir attiré son attention sur le fait qu’elle serait immédiatement privée de rente si elle ne se soumettait pas aux mesures proposées. Elle soutient que si elle conteste effectivement, à titre principal, la suppression de sa rente, cela ne signifie pas pour autant qu’elle refuse de se soumettre à de telles mesures, dont elle demande l’octroi à titre subsidiaire. Ainsi que cela ressort du rapport de réadaptation professionnelle du 7 octobre 2014, l’assurée a été reçue dans les locaux de l’intimé. A cette occasion, lui ont été expliqués : « le cadre légal actuel, les tenants et aboutissants de cette révision de rente et les mesures de nouvelle réadaptation envisageables ». L’assurée a alors indiqué qu’elle souhaitait en discuter avec ses médecins, puis qu’elle souhaitait consulter un avocat, avant d’indiquer qu’elle ne souhaitait pas entamer de telles mesures, expliquant que « selon son psychiatre, elle n’arrivera pas à suivre ce que [l’AI lui demandait] en mesure ». Le droit à une mesure de réadaptation déterminée de l'assurance-invalidité présuppose qu'elle soit appropriée au but de réadaptation poursuivi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I 370/98 du 26 août 1999, publié in VSI 2002 p. 111). En premier lieu, on relèvera qu’il ne suffit pas, pour nier la condition subjective mise à l'allocation d'une mesure de réadaptation, de relever que la recourante n’a conclu à l'octroi d’une telle mesure que subsidiairement. Le fait qu’elle conteste que les conditions de suppression de sa rente soient réunies ne préjuge en rien de la motivation qui serait la sienne si elle devait être déboutée de ses conclusions principales.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w:t>
      </w:r>
    </w:p>
    <w:p>
      <w:r>
        <w:t>A/87/2015 - 20/21 - réadaptation (arrêt I 605/04 du 11 janvier 2005, consid. 2 et les références, publié in SVR 2005 IV n° 30 p. 113; voir également les arrêts I 265/05 du 3 octobre 2005, consid. 4, et I 485/04 du 16 décembre 2004, consid. 6.1). Ainsi qu'il ressort des pièces figurant au dossier, aucune mise en demeure formelle n’a été en l’occurrence adressée à la recourante. Dès lors, nonobstant la volonté clairement exprimée par la recourante en octobre 2014, la cause doit être renvoyée à l'office AI afin qu'il statue à nouveau sur le droit à des mesures de réadaptation après avoir procédé à la sommation légale prévue à l'art. 21 al. 4 LPGA. En ce sens, le recours se révèle bien fondé.</w:t>
      </w:r>
    </w:p>
    <w:p>
      <w:r>
        <w:t>A/87/2015 - 21/21 -</w:t>
      </w:r>
    </w:p>
    <w:p>
      <w:r>
        <w:t>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