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ATAS/975/2020 vom 20. Oktober 2020</w:t>
      </w:r>
    </w:p>
    <w:p>
      <w:r>
        <w:t>GE Cour de justice, 2020-10-20, FR</w:t>
      </w:r>
    </w:p>
    <w:p>
      <w:r>
        <w:rPr>
          <w:b/>
        </w:rPr>
        <w:t xml:space="preserve">Quelle: </w:t>
      </w:r>
      <w:r>
        <w:t>https://mcp.opencaselaw.ch/entscheid/ge_gerichte_ATAS_975_2020</w:t>
      </w:r>
    </w:p>
    <w:p>
      <w:r>
        <w:t>FR: GE_GERICHTE ATAS/975/2020 du 20 octobre 2020</w:t>
      </w:r>
    </w:p>
    <w:p>
      <w:r>
        <w:t>IT: GE_GERICHTE ATAS/975/2020 del 20 ottobre 2020</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A/4538/2019 - 16/20 -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A/4538/2019 - 17/20 - assurances sociales, un principe selon lequel l'administration ou le juge devrait statuer, dans le doute, en faveur de l'assuré (ATF 126 V 319 consid. 5a).</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Se fondant sur les avis SMR des 26 septembre et 17 octobre 2019, la décision litigieuse retient que le recourant ne présente pas d’atteinte à la santé invalidante. De son côté, le recourant allègue n’avoir pas pu terminer sa scolarité en raison des réactions présentées de manière récurrente (suite à son exposition à des substances allergènes au Collège F______). Il ajoute que même s’il réussissait sa maturité à distance et terminait également la HEM – ce qui paraissait difficile dès lors que ses réactions allergiques notamment à l’Alternaria et aux produits de nettoyage compromettaient aussi sa formation –, il ne se voyait pas travailler alors qu’il perdait régulièrement connaissance. D’après l’intéressé, les atteintes à sa santé sont dues à de graves réactions allergiques aux aliments, moisissures et produits de nettoyage. Il conteste en revanche la composante épileptique de ses symptômes. Force est cependant de constater que le spécialiste en allergologie auprès des HUG a relevé que si le bilan du recourant révélait une sensibilité au pollen d’arbres, à l’Alernaria alternata et aux pommes, pêches et noisettes (étant précisé que l’intéressé ne présentait pas de symptomatologie à la consommation de fruits), le bilan avec une recherche des IgE spécifiques pour les produits chimiques et désinfectants était négatif (cf. rapport de consultation ambulatoire d’allergologie du</w:t>
      </w:r>
    </w:p>
    <w:p>
      <w:r>
        <w:rPr>
          <w:b/>
        </w:rPr>
        <w:t>E. 14</w:t>
      </w:r>
    </w:p>
    <w:p>
      <w:r>
        <w:t>février 2019). Sur la base de ces résultats, le médecin a constaté que « d’un point strictement allergologique, la capacité de travail [du recourant] était entière dans l’activité habituelle comme dans une activité adaptée » (cf. rapport du Dr G______ 26 juillet 2019, p. 2). Le médecin a certes évoqué, dans ce même rapport, un « asthme insuffisamment traité », à titre de diagnostic avec répercussion sur la capacité de travail (cf. rapport du Dr G______ 26 juillet 2019, p. 1). Questionné par</w:t>
      </w:r>
    </w:p>
    <w:p>
      <w:r>
        <w:t>A/4538/2019 - 18/20 - la chambre de céans, le médecin a expliqué que le recourant présentait un asthme allergique saisonnier sur sensibilisation aux pollens d’arbres et graminées, ainsi qu’une sensibilisation aux moisissures d’Alternata dont la signification était peu claire. D’après le médecin, une forte exposition aux allergènes pouvait entraîner des crises d’asthme, surtout si le traitement de base et aigu de l’asthme était insuffisant. Cela pouvait conduire à une réduction de la capacité de travail pendant la saison pollinique (cf. réponses du Dr G______ du 20 juillet 2020 aux questions de la chambre de céans). La chambre de céans constate cependant que la consultation du</w:t>
      </w:r>
    </w:p>
    <w:p>
      <w:r>
        <w:rPr>
          <w:b/>
        </w:rPr>
        <w:t>E. 17</w:t>
      </w:r>
    </w:p>
    <w:p>
      <w:r>
        <w:t>septembre 2019 a révélé un asthme partiellement contrôlé n’ayant donné lieu à aucune réduction de la capacité de l’intéressé (cf. rapport de consultation d’immuno-allergologie du Dr G______ du 18 septembre 2019), étant précisé que d’après le Dr G______, la saisonnalité dure entre juillet et novembre, avec un pic en août ou fin de l’été (rapport de consultation ambulatoire d’allergologie du 14 février 2019, p. 2). L’hypothèse posée par le médecin selon laquelle la situation pourrait être différente en période pollinique n’apparaîtrait ainsi pas étayée. Quoi qu’il en soit, le Dr G______ a admis que l’on pouvait partager l’avis du SMR selon lequel l’asthme présenté par le recourant était léger/modéré (cf. réponses du Dr G______ du 20 juillet 2020 aux questions de la chambre de céans). Il a d’ailleurs relevé qu’il ne pensait pas que l’asthme était la cause primaire des atteintes du recourant (cf. rapport de consultation d’immuno-allergologie du Dr G______ du 18 septembre 2019). Ces différents éléments ont logiquement amené le Dr G______ à partager les conclusions du SMR du 26 septembre 2019, selon lesquelles il n’y avait pas d’atteinte à la santé incapacitante chez le recourant « si on regard[ait] l’asthme strictement seul » (cf. réponses du Dr G______ du</w:t>
      </w:r>
    </w:p>
    <w:p>
      <w:r>
        <w:rPr>
          <w:b/>
        </w:rPr>
        <w:t>E. 20</w:t>
      </w:r>
    </w:p>
    <w:p>
      <w:r>
        <w:t>juillet 2020 aux questions de la chambre de céans). D’après le Dr G______, il n’était pas exclu qu’un asthme non contrôlé puisse réduire le seuil d’épilepsie ou présenter un cofacteur aggravant d’une épilepsie. Il recommandait ainsi une évaluation neurologique pour déterminer si l’épilepsie, liée à un asthme insuffisamment traité, ne nécessitait pas un traitement. Or, sur ce point, le spécialiste en neurologie a été clair. Dans son rapport du</w:t>
      </w:r>
    </w:p>
    <w:p>
      <w:r>
        <w:rPr>
          <w:b/>
        </w:rPr>
        <w:t>E. 24</w:t>
      </w:r>
    </w:p>
    <w:p>
      <w:r>
        <w:t>janvier 2019, le Dr E______ a relevé que d’un point de vue neurologique, le recourant ne souffrait d’aucune pathologie nécessitant une prise en charge de la part de l’assurance-invalidité. Questionné par la chambre de céans, le médecin a confirmé cette appréciation le 14 juillet 2020, précisant que l’épilepsie généralisée idiopathique dont souffrait le recourant, même non traitée, n’entraînait aucune incapacité de travail. On relèvera que les analyses génétiques visant à trouver un variant causatif de la pathologie se sont révélées négatives (cf. rapport de la Dresse K______ du 21 septembre 2020). Force est dès lors de constater que les spécialistes ayant examiné le recourant ont conclu, s’agissant de leurs domaines de compétence, à l’absence d’atteinte à la santé invalidante. Le médecin généraliste du recourant ne mentionne pour sa part aucune autre atteinte à la santé avec répercussion sur la capacité de travail du</w:t>
      </w:r>
    </w:p>
    <w:p>
      <w:r>
        <w:t>A/4538/2019 - 19/20 - recourant dont il aurait fallu tenir compte. Ainsi, compte tenu des explications des médecins et bien qu’il y ait une certaine contradiction dans les propos du Dr G______, dans la mesure où il indique que les allergies du recourant n’ont pas d’influence sur la capacité de travail tout en évoquant un « asthme insuffisamment traité » à titre de diagnostic avec répercussion sur la capacité de travail, la chambre de céans constate que le recourant ne présente, en l’état, pas d’atteinte qui l’empêcherait d’exercer une activité lucrative. C’est le lieu de préciser que cette conclusion est imposée par les règles jurisprudentielles et n’est en aucun cas un constat de négation de la symptomatologie du recourant. Enfin, dans la mesure où la prise en charge de frais liés à une formation professionnelle initiale suppose l’existence d’une invalidité, c’est à juste titre que l’intimé a nié son droit à une telle mesure (cf. art. 8 al. 1 et 3 let. b LAI). 10. Les considérants qui précèdent conduisent au rejet du recours. Un émolument de CHF 200.- sera mis à la charge du recourant, qui succombe (art. 69 al. 1bis LAI). *****</w:t>
      </w:r>
    </w:p>
    <w:p>
      <w:r>
        <w:t>A/4538/2019 - 20/20 -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