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ATAS/975/2016 vom 28. November 2016</w:t>
      </w:r>
    </w:p>
    <w:p>
      <w:r>
        <w:t>GE Cour de justice, 2016-11-28, FR</w:t>
      </w:r>
    </w:p>
    <w:p>
      <w:r>
        <w:rPr>
          <w:b/>
        </w:rPr>
        <w:t xml:space="preserve">Quelle: </w:t>
      </w:r>
      <w:r>
        <w:t>https://mcp.opencaselaw.ch/entscheid/ge_gerichte_ATAS_975_2016</w:t>
      </w:r>
    </w:p>
    <w:p>
      <w:r>
        <w:t>FR: GE_GERICHTE ATAS/975/2016 du 28 novembre 2016</w:t>
      </w:r>
    </w:p>
    <w:p>
      <w:r>
        <w:t>IT: GE_GERICHTE ATAS/975/2016 del 28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A/1717/2016 - 9/19 -</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 recourante à une rente d’invalidité, singulièrement sur l’évaluation de sa capacité de travail.</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A/1717/2016 - 10/19 -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A/1717/2016 - 11/19 -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A/1717/2016 - 12/19 -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w:t>
      </w:r>
    </w:p>
    <w:p>
      <w:r>
        <w:rPr>
          <w:b/>
        </w:rPr>
        <w:t>E. 10</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w:t>
      </w:r>
    </w:p>
    <w:p>
      <w:r>
        <w:t>A/1717/2016 - 15/19 - d’invalidité se confondant avec celui de l’incapacité de travail, sous réserve d’une éventuelle réduction du salaire statistique (arrêts du Tribunal fédéral des assurances I 43/05 du 30 juin 2006 consid. 5.2 et I 1/03 du 15 avril 2003 consid. 5.2).</w:t>
      </w:r>
    </w:p>
    <w:p>
      <w:r>
        <w:rPr>
          <w:b/>
        </w:rPr>
        <w:t>E. 11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t>A/1717/2016 - 16/19 -</w:t>
      </w:r>
    </w:p>
    <w:p>
      <w:r>
        <w:rPr>
          <w:b/>
        </w:rPr>
        <w:t>E. 12</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9C_1022/2012 cité, consid. 3.3.1 ; arrêt du Tribunal fédéral 9C_32/2015 du 10 septembre 2015).</w:t>
      </w:r>
    </w:p>
    <w:p>
      <w:r>
        <w:rPr>
          <w:b/>
        </w:rPr>
        <w:t>E. 13</w:t>
      </w:r>
    </w:p>
    <w:p>
      <w:r>
        <w:t>En l’espèce, l’expertise pluridisciplinaire du CEMed du 6 février 2015 remplit les réquisits jurisprudentiels précités pour qu’il lui soit reconnu une pleine valeur probante ; fondée sur un examen neuropsychologique, neurologique et psychiatrique, elle relate les plaintes de la recourante, expose clairement les diagnostics et motive la capacité de travail de cette dernière de façon convaincante. Les Drs B______ et G______, neurologues traitants de la recourante, sollicités par la chambre de céans, ont confirmé les conclusions du rapport du CEMed, en particulier en se déclarant d’accord avec une capacité de travail de la recourante de 100 %, avec une diminution de rendement de 30 % (avis de Dr B______ du 8 août 2016 et de la Dresse G______ du 12 août 2016). Seul le Dr H______, médecin- traitant, a contesté la capacité de travail ainsi arrêtée par le CEMed en estimant celle-ci à 70 %, avec un rendement de 20 % au motif que la recourante souffrait de perturbations dépressivo-anxieuses et de peur d’une rechute ou d’une crise d’épilepsie ; cette appréciation, sommaire, ne saurait mettre en doute celle des experts du CEMed, confirmée par deux médecins-traitants. Il convient en conséquence de retenir que la recourante a été en incapacité de travail totale de février 2010 à juin 2012, puis capable de travailler à 70 % depuis juillet 2012 (rapport CEMed p. 21-22).</w:t>
      </w:r>
    </w:p>
    <w:p>
      <w:r>
        <w:t>A/1717/2016 - 17/19 -</w:t>
      </w:r>
    </w:p>
    <w:p>
      <w:r>
        <w:rPr>
          <w:b/>
        </w:rPr>
        <w:t>E. 14</w:t>
      </w:r>
    </w:p>
    <w:p>
      <w:r>
        <w:t>a. S’agissant du calcul de degré d’invalidité, il convient de constater qu’à l’issue du délai de carence d’un an, soit au 1er février 2011, la recourante, totalement incapable de travailler, présentait un degré d’invalidité de 100 %. Le 1er juillet 2012, la capacité de travail était de 70 % (100 % avec une diminution de rendement de 30 %). Il convient en conséquence de calculer le degré d’invalidité de la recourante dès cette date. b. Le revenu sans invalidité retenu par l’intimé de CHF 30'350.- n’est pas contesté par la recourante. S’agissant du revenu avec invalidité, l’intimé l’a arrêté à CHF 32'408.- en se fondant sur l’ESS 2012, TA1, femme, pour une durée hebdomadaire de travail de 41,7 heures, pour un taux de travail de 70 % et imputé d’une déduction de 10 %. Il aboutit ainsi à un degré d’invalidité nul. Il convient d'admettre que le marché du travail offre un éventail suffisamment large d'activités légères, dont on doit convenir qu'un nombre significatif sont adaptées aux limitations de la recourante et accessibles sans aucune formation particulière (arrêt du Tribunal fédéral 9C_279/2008 du 16 décembre 2008 consid. 4). La chambre de céans constate que la prise en compte pour la recourante d’un revenu d’invalide de CHF 51’441.- pour l’année 2012 et pour une activité exercée à 100 % paraît excessif au vu du revenu que la recourante a réalisé tout au long de son activité professionnelle de maman de jour, exercée à 100 %, soit un revenu en 2012 de CHF 30'350.-. Quoi qu’il en soit, la question de la pertinence de l’application de l’ESS 2012 au cas d’espèce, en vue du calcul du revenu d’invalide de la recourante, peut rester ouverte dès lors que même si un revenu d’invalide identique au revenu sans invalidité était considéré, le degré d’invalidité de la recourante serait au maximum de 30 % (le degré d’invalidité se confondant alors avec le degré d’incapacité de travail), soit insuffisant pour ouvrir le droit à une rente d’invalidité, étant par ailleurs relevé que, dans ce cas de figure, une déduction de 10 % telle qu’opérée par l’intimé sur le salaire statistique ne serait pas justifiée. c. Au vu de la pathologie dons souffre la recourante et des contrôles réguliers auxquels elle est astreinte, on ne saurait considérer qu’au 1er juillet 2012, sa situation était suffisamment stable pour admettre une augmentation avec effet immédiat de sa capacité de gain, laquelle permettrait de faire intervenir la suppression de la rente d’invalidité à partir de cette date (arrêt du Tribunal fédéral du 10 septembre 2015 9C_32/2015). En conséquence, l’art. 88a al. 1 RAI est applicable et la suppression du droit à la rente d’invalidité effective depuis le 1er octobre 2012. Au vu de ce qui précède, le degré d’invalidité de la recourante était de 100 % du 1er février 2011 au 1er octobre 2012 et, au maximum, de 30 % depuis lors.</w:t>
      </w:r>
    </w:p>
    <w:p>
      <w:r>
        <w:t>A/1717/2016 - 18/19 -</w:t>
      </w:r>
    </w:p>
    <w:p>
      <w:r>
        <w:rPr>
          <w:b/>
        </w:rPr>
        <w:t>E. 15</w:t>
      </w:r>
    </w:p>
    <w:p>
      <w:r>
        <w:t>Vu le dépôt de la demande le 13 février 2012, la recourante a droit aux prestations seulement à partir du 1er août 2012, comme relevé par l’intimé, de sorte qu’elle a droit à une rente entière d’invalidité du 1er août au 30 septembre 2012.</w:t>
      </w:r>
    </w:p>
    <w:p>
      <w:r>
        <w:rPr>
          <w:b/>
        </w:rPr>
        <w:t>E. 16</w:t>
      </w:r>
    </w:p>
    <w:p>
      <w:r>
        <w:t>Enfin, la recourante ne requiert pas de mesure d’ordre professionnel, de sorte que cette question n’est pas litigieuse.</w:t>
      </w:r>
    </w:p>
    <w:p>
      <w:r>
        <w:rPr>
          <w:b/>
        </w:rPr>
        <w:t>E. 17</w:t>
      </w:r>
    </w:p>
    <w:p>
      <w:r>
        <w:t>Partant, le recours sera partiellement admis et la décision de l’intimé du 4 mai 2016 réformée dans le sens que la recourante a droit à une rente entière d’invalidité du 1er août au 30 septembre 2012.</w:t>
      </w:r>
    </w:p>
    <w:p>
      <w:r>
        <w:rPr>
          <w:b/>
        </w:rPr>
        <w:t>E. 18</w:t>
      </w:r>
    </w:p>
    <w:p>
      <w:r>
        <w:t>Vu l’issue du litige, aucun émolument ne sera perçu (art. 69 al. 1 bis LAI).</w:t>
      </w:r>
    </w:p>
    <w:p>
      <w:r>
        <w:t>A/1717/2016 - 19/19 -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