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ATAS/974/2024 vom 4. Dezember 2024</w:t>
      </w:r>
    </w:p>
    <w:p>
      <w:r>
        <w:t>GE Cour de justice, 2024-12-04, FR</w:t>
      </w:r>
    </w:p>
    <w:p>
      <w:r>
        <w:rPr>
          <w:b/>
        </w:rPr>
        <w:t xml:space="preserve">Quelle: </w:t>
      </w:r>
      <w:r>
        <w:t>https://mcp.opencaselaw.ch/entscheid/ge_gerichte_ATAS_974_2024</w:t>
      </w:r>
    </w:p>
    <w:p>
      <w:r>
        <w:t>FR: GE_GERICHTE ATAS/974/2024 du 4 décembre 2024</w:t>
      </w:r>
    </w:p>
    <w:p>
      <w:r>
        <w:t>IT: GE_GERICHTE ATAS/974/2024 del 4 dicembre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A/2083/2023 - 6/17 -</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il n’est pas contesté que le droit du recourant à une allocation pour impotent est né antérieurement au 1er janvier 2022. Toutefois, la décision querellée est fondée sur un motif de révision survenu en 2022, de sorte que les dispositions applicables seront citées dans leur nouvelle teneur.</w:t>
      </w:r>
    </w:p>
    <w:p>
      <w:r>
        <w:rPr>
          <w:b/>
        </w:rPr>
        <w:t>E. 3.1</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Cette disposition s’applique à la révision des allocations pour impotent. Dans ce contexte, la procédure doit déterminer si les circonstances dont dépendait le droit à l’allocation ont changé de manière significative (arrêt du Tribunal fédéral 9C_662/2019 du 19 février 2020 consid. 4.2).</w:t>
      </w:r>
    </w:p>
    <w:p>
      <w:r>
        <w:t>A/2083/2023 - 7/17 - Lorsque l’assuré n’est plus atteint d’une impotence d’un degré faible au moins (art. 37 al. 3 RAI), le droit s’éteint le premier jour du deuxième mois qui suit la notification de la décision de suppression (art. 88bis al. 2 let. a RAI).</w:t>
      </w:r>
    </w:p>
    <w:p>
      <w:r>
        <w:rPr>
          <w:b/>
        </w:rPr>
        <w:t>E. 3.2.1</w:t>
      </w:r>
    </w:p>
    <w:p>
      <w:r>
        <w:t>Selon l’art. 42 al. 1 phr. 1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Est aussi considérée comme impotente la personne vivant chez elle qui, en raison d’une atteinte à sa santé, a durablement besoin d’un accompagnement lui permettant de faire face aux nécessités de la vie (art. 42 al. 3 phr. 1 LAI).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w:t>
      </w:r>
    </w:p>
    <w:p>
      <w:r>
        <w:t>A/2083/2023 - 8/17 - remplie dès qu’il y a soins permanents ou surveillance personnelle, fussent-ils peu importants (ATF 106 V 153 consid. 2a). 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w:t>
      </w:r>
    </w:p>
    <w:p>
      <w:r>
        <w:rPr>
          <w:b/>
        </w:rPr>
        <w:t>E. 3.2.2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3.2.3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3.2.4</w:t>
      </w:r>
    </w:p>
    <w:p>
      <w:r>
        <w:t>Selon la jurisprudence, les actes élémentaires de la vie quotidienne se répartissent en six domaines : 1. se vêtir et se dévêtir ; 2. se lever, s’asseoir et se</w:t>
      </w:r>
    </w:p>
    <w:p>
      <w:r>
        <w:t>A/2083/2023 - 9/17 -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121 V 94 consid. 6b et les références).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 invalidité ou financée par celle-ci au moyen de prestations de remplacement, car c’est uniquement en considération d’un but professionnel, et non pour couvrir des frais de déplacements privés, que l’assurance intervient dans ce cas (ATF 117 V 146 consid. 3a).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w:t>
      </w:r>
    </w:p>
    <w:p>
      <w:r>
        <w:t>A/2083/2023 - 10/17 -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le ch. 8026.1 d la Circulaire sur l’invalidité et l’impotence dans l’assurance- invalidité (CIIAI), valable depuis le 1er janvier 2015, état au 1er janvier 2021, les indications verbales et les rappels pour accomplir les actes ordinaires de la vie de manière autonome ne sont pas considérés comme une aide importante. Ils ne satisfont pas aux critères déterminant l’importance d’une aide indirecte. Selon le ch. 8029.1 CIIAI, l’aide indirecte doit être d’une certaine intensité ; une simple injonction ou indication ne suffit pas à la caractériser. Ainsi, il n’est pas suffisant de dire plusieurs fois à un assuré qu’il doit se doucher. Outre la</w:t>
      </w:r>
    </w:p>
    <w:p>
      <w:r>
        <w:t>A/2083/2023 - 11/17 - répétition de l’injonction, l’action doit au moins être surveillée pendant son exécution et il doit être possible d’intervenir si nécessaire.</w:t>
      </w:r>
    </w:p>
    <w:p>
      <w:r>
        <w:rPr>
          <w:b/>
        </w:rPr>
        <w:t>E. 3.2.5</w:t>
      </w:r>
    </w:p>
    <w:p>
      <w:r>
        <w:t>Selon le ch. 8014 CIIAI, il y a impotence, en ce qui concerne l’acte ordinaire de la vie « se vêtir /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 même, il n’accomplirait pas cet acte ou ne le ferait qu’imparfaitement ou à contretemps. Cela suffit pour admettre qu’il a besoin de l’aide d’autrui pour se vêtir (arrêt du Tribunal fédéral 8C_780/2011 du 4 décembre 2012 consid. 3.2.1 et les références). Le Tribunal fédéral a considéré s’agissant d’un mineur qui était apte du point de vue fonctionnel à se vêtir et à se dévêtir tout seul, mais qui avait besoin de rappels ou d’injonctions pour que l’acte soit accompli correctement, de façon adéquate selon l’activité à entreprendre ou la météorologie et dans un laps de temps raisonnable, que ces rappels ou injonctions constituaient une aide indirecte et régulière de la part d’un tiers (arrêt 9C_236/2024 du 23 octobre 2024).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Selon le ch. 8016.1 CIIAI, des injonctions verbales de s’asseoir ou de se lever, de se mettre au lit ou de sortir du lit ne sont pas considérées comme une aide importante. L’action doit être accompagnée de manière active (présence ininterrompue et contrôle). Les rituels d’endormissement ne fondent pas l’impotence et ne peuvent pas être reconnus dans le domaine « se lever, s’asseoir, se coucher », à moins que l’ampleur de ces rituels aille nettement au-delà de ce qui entre dans le cadre habituel d’une prise en charge adaptée à l’âge. Ces circonstances doivent toutefois être clairement documentées dans les rapports médicaux existants (des mesures médicales telles que la remise de médicaments ou d’autres stratégies ont été envisagées et leur inefficacité est attestée par un médecin). Au moins jusqu’à la 8e année, il est considéré comme adapté à l’âge de l’enfant de lui consacrer du temps avant son coucher sous forme d’attention, d’intimité physique entre l’enfant et les parents, d’échanges, de chansons, de prières, de séries audio, etc. Un rituel</w:t>
      </w:r>
    </w:p>
    <w:p>
      <w:r>
        <w:t>A/2083/2023 - 12/17 - d’endormissement peut donc être pris en compte seulement à partir de l’âge de</w:t>
      </w:r>
    </w:p>
    <w:p>
      <w:r>
        <w:rPr>
          <w:b/>
        </w:rPr>
        <w:t>E. 3.2.6</w:t>
      </w:r>
    </w:p>
    <w:p>
      <w:r>
        <w:t>En ce qui concerne l’acte ordinaire de la vie « manger », la fonction de boire constitue également une fonction partielle de cet acte (arrêt du Tribunal fédéral 9C_346/2010 du 6 août 2010 consid. 3 et la référence).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9C_791/2016 du 22 juin 2017 consid. 4 et la référence). Un régime alimentaire (par ex. pour les personnes atteintes de diabète ou de la maladie cœliaque) ne fonde pas l’impotence (ch. 8018 CIIAI).</w:t>
      </w:r>
    </w:p>
    <w:p>
      <w:r>
        <w:rPr>
          <w:b/>
        </w:rPr>
        <w:t>E. 3.2.7</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w:t>
      </w:r>
    </w:p>
    <w:p>
      <w:r>
        <w:t>A/2083/2023 - 13/17 -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ATF 137 V 424 consid. 3.3.3.2 ; ch. 8088 CIAII). Afin de faciliter l’évaluation de l’impotence déterminante des mineurs, des lignes directrices figurent dans l’annexe III de la CIIAI. Il y est notamment indiqué qu'à partir de l'âge de 10 ans, un enfant n'a plus besoin de contrôle pour l'acte de se vêtir et se dévêtir et que le choix des vêtements est aussi adéquat la plupart du temps.</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4.</w:t>
      </w:r>
    </w:p>
    <w:p>
      <w:r>
        <w:t>4.1 En l’espèce, lors de l’audience du 28 février 2024 devant la chambre de céans, le père du recourant a indiqué que ce dernier avait fait des progrès au niveau de l'habillement. Lorsque l'infirmière était venue chez eux pour l'enquête, un matin vers 7h30-8h, leur fils était allé seul chercher les vêtements qu’ils avaient choisis ensemble la veille. Cela étant, il n'était pas autonome pour s'habiller. Un simple contrôle n'était pas suffisant. Il fallait l'accompagner pour s'habiller. Le soir, ils le laissaient seul dans un premier temps choisir ses habits pour le lendemain, puis si ce n'était pas adéquat, ils l'incitaient à changer ou ils allaient eux-mêmes chercher les habits, selon leur état de fatigue. Il arrivait que leur fils choisisse adéquatement les habits. Souvent quand il n'était pas pressé, cela se passait correctement. Le père du recourant a encore relevé que celui-ci avait un vrai problème d'attention. Son atteinte lui posait des problèmes cognitifs et de dispersion. Même si les habits avaient été correctement préparés le soir, son fils ne les mettait pas complétement le matin. Il fallait encore surveiller qu'il avait bien mis son pullover par exemple. Il fallait plus qu’un simple contrôle. La problématique était le choix du vêtement et son adéquation ainsi que la capacité de son fils à finir sa tâche. Dans leur courrier adressé à l’intimé le 9 juin 2023, les parents du recourant indiquaient que le matin, ils devaient lui faire de nombreux rappels pour qu’il</w:t>
      </w:r>
    </w:p>
    <w:p>
      <w:r>
        <w:t>A/2083/2023 - 14/17 - s’habille, car il ne se repérait pas dans le temps. Les 80% des matins, s’ils n’étaient pas à ses côtés, leur fils allait s’assoir dans sa chambre, oubliait pourquoi il y était allé et se mettait à jouer sans conscience des délais à respecter pour être prêt pour l’école. La présence de l’infirmière avait probablement créé pour leur fils un environnement exceptionnel par rapport à sa routine habituelle. En temps normal, il fallait bien plus qu’une simple injonction. Il fallait rester présent pour qu’il ne fasse pas autre chose afin d’être à l’heure à l’école. L’infirmière a déclaré à la chambre de céans que le jour de l'évaluation, le recourant était allé chercher ses habits dans sa chambre et qu’il n'y avait eu qu'un simple contrôle des parents. Elle ignorait que les vêtements avaient été choisis la veille avec ses parents, ce qui ne changeait pas ses conclusions, car ceux-ci restaient dans l’injonction et le contrôle. Il était possible que sa présence ait influencé le recourant, précisant que les comportements d'un TSA pouvaient être différents chaque jour selon les circonstances, mais qu’une certaine régularité pouvait être observée dans les comportements. Le père du recourant a indiqué à cet égard qu’en raison de l’atteinte de leur fils, son comportement était très variable, car il ne souffrait pas que d'un TSA, mais également de la myopathie de Duchenne en forme mosaïque et d’un TDAH. Au vu des considérations qui précèdent, la chambre de céans retient que les parents du recourant ont rendu vraisemblable, au degré de la vraisemblance prépondérante, que leur fils a encore besoin d’une aide indirecte importante et régulière pour l’acte de s’habiller, sous la forme de contrôles et d’injonctions, faute de quoi, il accomplirait cet acte imparfaitement ou avec retard. La chambre de céans estime qu’il se justifie de s’éloigner des constats de l’infirmière, dès lors que ceux-ci n’ont eu lieu qu’à une reprise, que sa présence a pu avoir un impact sur le comportement du recourant et que le recourant ne souffre pas que d'un TSA, mais également de la myopathie de Duchenne en forme mosaïque et d’un TDAH, ce qui rend vraisemblable une tendance à la distraction et à une variation dans les comportements. Il convient en outre de prendre en compte le fait qu’au moment de l'enquête à domicile, le recourant était âgé de plus 10 ans, âge auquel un enfant n’a en principe plus besoin de contrôle pour l'acte de se vêtir et se dévêtir (annexe III de la CIIAI). Il se justifie en conséquence de retenir encore un besoin d’aide pour cet acte, malgré les progrès observés, depuis la dernière décision, le cas du recourant pouvant être assimilé à celui visé dans l’arrêt 9C_236/2024 du 23 octobre 2024 précité. Le fait que le recourant ne sache pas nouer des lacets, ni boutonner son pantalon n’a en revanche pas à être pris en compte, car il est exigible des assurés de faire usage de chaussures et d’habits adaptés, en raison de l’obligation de réduction du dommage imposée par la jurisprudence.</w:t>
      </w:r>
    </w:p>
    <w:p>
      <w:r>
        <w:t>A/2083/2023 - 15/17 - 4.2 S’agissant du besoin d’aide pour l’acte « se lever, s’asseoir et se coucher », il est relevé que les parents n’ont pas invoqué de difficultés sur ce plan dans le formulaire de révision du 20 août 2022 ni lors de l’enquête. Dans son rapport du 27 mars 2023, l’enquêtrice a indiqué que selon les dires de sa mère, le recourant était autonome pour l’acte « se lever, s’assoir, se coucher ». Il lui arrivait encore fréquemment de se relever pendant la nuit, mais il le faisait seul sans aller réveiller ses parents. Le matin, il se levait tôt, vers 5-6 heure. L’enquêtrice retenait que le recourant se levait la nuit, mais que les parents n’intervenaient que si nécessaire et pas de manière régulière. Le père du recourant a indiqué, lors de son audition par la chambre de céans, que celui-ci dormait, mais qu’il fallait le surveiller pendant la nuit, car il se réveillait et avait des activités pendant la nuit. Il se réveillait une nuit sur deux et il fallait l'emmener se recoucher. Les parents ne constataient toutefois qu'une partie des problèmes. Ils ne savaient pas combien de temps l'interruption avait duré. Parfois, leur fils avait l’air fatigué le matin. Ce n'était pas toutes les nuits. Il y avait des périodes pendant lesquelles il dormait bien et d'autres moins, même à la maison. Il dormait en général moins bien à l'extérieur, par exemple à la montagne où la famille se rendait les weekends et les vacances. Il avait également des phases d'hyper-impulsivité sur les écrans. En principe, ils les lui enlevaient le soir, mais parfois ils oubliaient de le faire. Sur question, le père du recourant a confirmé la teneur du recours sur le fait qu’avec son épouse, ils devaient se lever entre 5 et 6 heure du matin pour recoucher leur fils, mais il est précisé que cela n’était pas régulier. Il ne ressort en outre pas des pièces au dossier que des mesures médicales aient été envisagées. Le père du recourant a déclaré à cet égard qu’ils avaient choisi la médication pour le TSA avec une diffusion dès le matin pour éviter un impact sur le sommeil et qu’ils avaient la volonté de ne pas l'assommer la nuit. Il ne ressort pas du dossier que des réveils nocturnes du recourant nécessitent de maintenir une présence à son chevet jusqu’à ce qu’il parvienne à se rendormir pendant un temps relativement long. Au vu des considérations qui précèdent, la chambre de céans retient que le besoin d’aide pour l’acte « se lever, s’asseoir, se coucher » ne peut être retenu comme important et régulier. 4.3 S’agissant de l’acte de manger, l’infirmière a indiqué dans son rapport d’enquête qu’il apparaissait qu’avec les sollicitations de ses parents, le recourant pouvait prendre ses repas pendant le temps familial. L’infirmière a déclaré à la chambre de céans que le fait de pousser un enfant à manger est une injonction qui ne suffisait pas pour prendre en compte cet acte au niveau de l'impotence. L’assuré prenait ses repas en même temps que sa famille, sans nécessité de temps supplémentaire, était précisé qu’un repas habituel en famille était comptabilisé à 45 minutes.</w:t>
      </w:r>
    </w:p>
    <w:p>
      <w:r>
        <w:t>A/2083/2023 - 16/17 - 4.4 La chambre de céans retient que les parents du recourant invoquent essentiellement un besoin d’inciter ce dernier à manger, ce qui ne justifie pas de retenir un besoin d’aide, car l’incitation à manger est effectuée dans le cadre des repas que la famille prend ensemble. Par ailleurs, aucune aide n’est apportée à midi lorsque le recourant mange à l’école. Le fait qu’il ait encore besoin d’aide pour couper la viande ne suffit pas à retenir un besoin d’aide, selon la jurisprudence. 4.5 En conclusion, quatre besoins d’aide doivent être retenus, ce qui ouvre au recourant le droit à une allocation pour impotent de degré moyen, étant rappelé que l’intimé a déjà reconnu le besoin d’aide pour trois actes dans la décision querellée (faire sa toilette, aller aux toilettes, se déplacer et entretenir des contacts avec autrui). 5. Au vu de ce qui précède, le recours sera partiellement admis, la décision litigieuse annulée et il sera dit que le recourant continue à avoir droit à une allocation pour impotent pour mineur de degré moyen. Il ne sera pas alloué d’indemnité de procédure au recourant, qui n'est pas assisté d'un conseil et qui n’a pas fait valoir de frais engendrés par la procédure (art. 61 let. g LPGA). Au vu du sort du recours, il y a lieu de condamner l'intimé au paiement d'un émolument de CHF 200.- (art. 69 al. 1bis LAI).</w:t>
      </w:r>
    </w:p>
    <w:p>
      <w:r>
        <w:t>A/2083/2023 - 17/17 - PAR CES MOTIFS, LA CHAMBRE DES ASSURANCES SOCIALES : Statuant À la forme :</w:t>
      </w:r>
    </w:p>
    <w:p>
      <w:r>
        <w:rPr>
          <w:b/>
        </w:rPr>
        <w:t>E. 8</w:t>
      </w:r>
    </w:p>
    <w:p>
      <w:r>
        <w:t>ans et à partir d’une certaine intensité (supplément forfaitaire de 60 minutes par nuit au maximum). Raconter une histoire, laisser la lumière allumée, rester près de l’enfant ou lui faire un massage apaisant ne suffisent pas à caractériser un besoin d’aide pour cet acte ordinaire de la vie (CIIAI, ch. 8016.2 ; CSI ch. 2035 1/24). Selon le ch. 8016.3 CIIAI, un sommeil agité et des réveils nocturnes récurrents ne peuvent être pris en compte que s’ils nécessitent ensuite de rassurer l’assuré, de maintenir une présence à son chevet jusqu’à ce qu’il parvienne à se rendormir et ce pendant un temps relativement long. Ces circonstances doivent toutefois être clairement documentées dans les rapports médicaux existants. L’aide fournie va au-delà de la simple présence (ch. 8017).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