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ATAS/974/2012 vom 21. August 2012</w:t>
      </w:r>
    </w:p>
    <w:p>
      <w:r>
        <w:t>GE Cour de justice, 2012-08-21, FR</w:t>
      </w:r>
    </w:p>
    <w:p>
      <w:r>
        <w:rPr>
          <w:b/>
        </w:rPr>
        <w:t xml:space="preserve">Quelle: </w:t>
      </w:r>
      <w:r>
        <w:t>https://mcp.opencaselaw.ch/entscheid/ge_gerichte_ATAS_974_2012</w:t>
      </w:r>
    </w:p>
    <w:p>
      <w:r>
        <w:t>FR: GE_GERICHTE ATAS/974/2012 du 21 août 2012</w:t>
      </w:r>
    </w:p>
    <w:p>
      <w:r>
        <w:t>IT: GE_GERICHTE ATAS/974/2012 del 21 agosto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(art. 56ss LPGA), le présent recours est recevable.</w:t>
      </w:r>
    </w:p>
    <w:p>
      <w:r>
        <w:rPr>
          <w:b/>
        </w:rPr>
        <w:t>E. 3</w:t>
      </w:r>
    </w:p>
    <w:p>
      <w:r>
        <w:t>Le litige porte sur le droit de l'enfant à la prise en charge par l'OAI de séances de psychothérapie.</w:t>
      </w:r>
    </w:p>
    <w:p>
      <w:r>
        <w:rPr>
          <w:b/>
        </w:rPr>
        <w:t>E. 4</w:t>
      </w:r>
    </w:p>
    <w:p>
      <w:r>
        <w:t>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w:t>
      </w:r>
    </w:p>
    <w:p>
      <w:r>
        <w:rPr>
          <w:b/>
        </w:rPr>
        <w:t>E. 5</w:t>
      </w:r>
    </w:p>
    <w:p>
      <w:r>
        <w:t>Aux termes de l'art. 13 al. 1 LAI, dans sa teneur en vigueur dès le 1er janvier 2003, les assurés ont droit aux mesures médicales nécessaires au traitement des infirmités congénitales jusqu'à l'âge de 20 ans révolus. Selon l'art. 3 al. 2 LPGA, est réputée infirmité congénitale toute maladie présente à la naissance accomplie de l'enfant. L'art. 13 al. 2 LAI précise que le Conseil fédéral établira une liste des infirmités congénitales pour lesquelles ces mesures sont accordées. Il pourra exclure la prise en charge du traitement d'infirmités peu importantes. La liste des infirmités congénitales prévue par cette disposition fait l'objet d'une ordonnance spéciale (art. 3 du règlement sur l'assurance-invalidité du 17 janvier 1961 - RAI). Selon cette ordonnance, sont réputées infirmités congénitales au sens de l'art. 13 LAI les infirmités présentes à la naissance accomplie de l'enfant (art. 1 al. 1 1ère phrase de l'Ordonnance concernant les infirmités congénitales du 9 décembre 1985 - OIC) et qui figurent dans la liste annexée à l'OIC (art. 1 al. 2 1ère phrase OIC). Le Département fédéral de l'intérieur peut également qualifier d'infirmités congénitales</w:t>
      </w:r>
    </w:p>
    <w:p>
      <w:r>
        <w:t>A/2926/2011 - 7/14 - au sens de l'art. 13 LAI les infirmités congénitales évidentes qui ne figurent pas dans cette liste (art 1 al. 2 2ème phrase OIC). Le chiffre 404 de l'annexe à l'OIC qualifie d'infirmité congénitale les troubles du comportement des enfants ayant un intelligence normale, au sens d’un trouble pathologique de l’affectivité ou du contact, dans le cas de troubles de l’impulsion, de la compréhension, des fonctions perceptives, de la perception, de la faculté de concentration et de la mémorisation, lorsqu’ils ont été diagnostiqués et traités comme tels avant la fin de la 9e année. La jurisprudence a précisé qu'un diagnostic établi après la limite d'âge ne permet pas de renverser la présomption d'un syndrome psycho-organique acquis (c'est-à- dire non congénital). Il est toutefois possible que des examens complémentaires pratiqués après l'âge-limite permettent d'établir avec un degré de vraisemblance prépondérante que l'assuré présentait déjà avant l'accomplissement de la neuvième année la symptomatique complète de l'infirmité congénitale en cause (ATF 122 V 122 s. consid. 3c/bb et 3c/cc).</w:t>
      </w:r>
    </w:p>
    <w:p>
      <w:r>
        <w:rPr>
          <w:b/>
        </w:rPr>
        <w:t>E. 6</w:t>
      </w:r>
    </w:p>
    <w:p>
      <w:r>
        <w:t>Selon la lettre-circulaire no 298 du 14 avril 2011 publiée par l'OFAS, les conditions du ch. 404 OIC peuvent être considérées comme réunies si, avant l’âge de 9 ans, on constate au moins des troubles du comportement dans le sens d’une atteinte pathologique de l’affectivité ou du contact, de l’impulsion de la perception (troubles perceptifs et cognitifs), de la concentration et de la mémorisation. Ces symptômes doivent être présents cumulativement. Ils ne doivent cependant pas nécessairement apparaître simultanément; ils peuvent, selon les circonstances, survenir les uns après les autres (ATF 122 V 113 consid. 2f). Si, le jour où l’enfant atteint l’âge de 9 ans, seuls certains de ces symptômes sont médicalement attestés, les conditions du ch. 404 OIC ne sont pas remplies. C’est à la personne chargée de l’examen qu’il incombe de choisir les tests (différents selon la langue) qui lui permettront de répondre à la question, et de les utiliser conformément à l’état de l’art. Les multiples tests mentionnés dans le présent manuel ne le sont donc qu’à titre d’exemples et ne constituent pas une liste exhaustive des tests admis. De plus, les exigences que pose le ch. 404 OIC n’équivalent pas à une réglementation prévoyant des preuves; elles représentent seulement les conditions du droit, si bien que le droit à des prestations doit être nié même si un seul de ces critères fait défaut (RCC 1984 p. 36 consid. 1). Une délimitation entre troubles cérébraux de nature prénatale et périnatale et troubles susceptibles de se manifester ultérieurement s’impose. Il s’ensuit que le législateur se situe encore en deçà des limites de son pouvoir d’appréciation normatif en introduisant un symptôme médical dans l’OIC (ATF 122 V 113 consid. 3a/cc).</w:t>
      </w:r>
    </w:p>
    <w:p>
      <w:r>
        <w:t>A/2926/2011 - 8/14 -</w:t>
      </w:r>
    </w:p>
    <w:p>
      <w:r>
        <w:rPr>
          <w:b/>
        </w:rPr>
        <w:t>E. 7</w:t>
      </w:r>
    </w:p>
    <w:p>
      <w:r>
        <w:t>En l'espèce, la Dresse L__________ a retenu dans son rapport du 21 juin 2011 le diagnostic de troubles de l'attention avec hyperactivité, et mentionné que le diagnostic d'hyperactivité avait été posé par Madame I_________ le 25 novembre 2010. Dans l'annexe à ce rapport, elle a toutefois répondu par la négative à la question de savoir si l'enfant présentait des troubles du comportement dans le sens d'une atteinte pathologique de l'affectivité ou du contact. Interrogée par la Cour de céans, elle a expliqué avoir retenu la présence de tels troubles chez l'enfant, faisant état d'anxiété, d'irritabilité, de colère, d'émotivité, de manque de confiance en lui- même, d'agitation et de thymie fluctuante, ce qu'elle a confirmé lors de son audition le 13 mars 2012, expliquant les contradictions relevées par l'OAI entre ses constatations du 21 juin 2011 et celles du 29 novembre 2011, par le fait que le document du 21 juin 2011 avait en réalité été rédigé par Madame I_________, laquelle avait mal interprété la question. S'agissant des troubles de la perception (troubles perceptifs et cognitifs), elle a par ailleurs indiqué qu'ils n'avaient pas été testés. Elle a expliqué à cet égard que certes Madame I_________ n'avait procédé à aucun test, mais que le Dr M________ en avait cependant fait, dont les résultats l'avaient précisément conduit à confirmer le ch. 404 OIC. Interrogée par la Cour de céans, sur le diagnostic de l'infirmité congénitale plus particulièrement, la Dresse L__________ a ainsi déclaré le 29 novembre 2011 que tous les troubles dont la réunion est nécessaire pour qu'une infirmité congénitale au sens du chiffre 404 OIC soit reconnue, étaient, dans le cas d'espèce, présents. Dans son rapport du 5 septembre 2011, le Dr M________ a quant à lui confirmé le diagnostic de trouble déficitaire de l'attention avec hyperactivité. Il a également fait expressément mention d'un important trouble de l'estime de soi. Il a enfin indiqué que l'enfant était décrit comme émotif et anxieux avec des difficultés face au changement et il pouvait manifester une irritabilité et de la colère. L'OAI a d'emblée refusé la prise en charge d'un traitement de psychothérapie au motif que les conditions de l'art. 12 LAI n'étaient pas réalisées et a considéré que l'existence de l'infirmité congénitale n° 404 OIC n'avait pas été établie. Il a à cet égard relevé que, si les rapports des Dr M________ du 5 septembre 2011 et ceux de la Dresse L__________ du 29 novembre 2011 montraient une intelligence normale et décrivaient les différents troubles requis pour retenir l'existence d'une infirmité congénitale n°404 OIC, le trouble du comportement n'avait pas été constaté à satisfaction de droit par les praticiens. Il a expliqué que le Dr M________ s'était contenté de rapporter ce qui lui avait été décrit, supposément par les parents, sans constater lui-même l'existence de ce trouble. La Dresse L__________ pour sa part, s'était totalement contredite entre son rapport du 21 juin 2011 et celui du 29 septembre 2011, s'agissant des troubles du comportement.</w:t>
      </w:r>
    </w:p>
    <w:p>
      <w:r>
        <w:rPr>
          <w:b/>
        </w:rPr>
        <w:t>E. 8</w:t>
      </w:r>
    </w:p>
    <w:p>
      <w:r>
        <w:t>À titre liminaire, la Cour de céans relèvera que l’enfant a accompli sa neuvième année le 4 septembre 2011. Le diagnostic de trouble de l'attention avec</w:t>
      </w:r>
    </w:p>
    <w:p>
      <w:r>
        <w:t>A/2926/2011 - 9/14 - hyperactivité a été posé le 25 novembre 2010 par Madame I_________, confirmé par le Dr M________ le 5 septembre 2011. La Dresse L__________ a indiqué qu'un traitement spécifique, sans toutefois préciser de quelle sorte, avait été instauré pour la première fois en décembre 2010. Quant au traitement de psychothérapie, il a été suivi par l'enfant dès le 10 avril 2011. La condition relative à l’âge de neuf ans est dès lors réalisée. Reste à examiner si la symptomatologie complète du ch. 404 OIC est ici présente, auquel cas l'octroi de mesures médicales conformément à l'art. 13 LAI serait possible. La Cour de céans peut d'emblée admettre la présence d'une intelligence normale, de troubles de la concentration, des pulsions et de la faculté d'attention, lesdits troubles ayant tous été relevés par les différents praticiens et ayant été expliqués de manière convaincante. L'intimé n'en nie d'ailleurs pas l'existence. S'agissant plus particulièrement des troubles de la perception, les Dresses L__________ et I_________ ont omis de les tester, sans expliquer pourquoi. À cet égard, le Dr M________ a considéré que l'enfant présentait effectivement un trouble de la perception auditive (répétition de logatome) réminiscent de son retard de langage. Reste à déterminer si l'enfant présente également des troubles du comportement dans le sens d'une pathologie de l'affectivité ou du contact. La Cour précisera ici que selon la lettre circulaire n°298, l'atteinte pathologique de l'affectivité ou du contact comprend, -pour les troubles de l’humeur et des affects: dépression/tristesse, excitabilité/dysphorie, manque de confiance en soi, désespoir, sentiment de culpabilité/auto-accusation, pauvreté des affects, manque d’intérêt/apathie, labilité des affects, agitation intérieure/impulsivité, augmentation de la conscience de sa propre valeur/euphorie. -pour les troubles du contact : hyper-adaptation, timidité/manque d’assurance, retrait social/isolement, mutisme, exagération, perte de la distance/ désinhibition, manque d’empathie, manque de réciprocité et de communication sociales. -dans le sens d’un comportement oppositionnel, voire antisocial, les troubles suivants satisfont également aux critères exigés : domination, opposition/refus, agressivité verbale, agressivité physique, mensonge/tromperie, vols, fuites/fugues, école buissonnière, destruction de biens, pyromanie. En l'occurrence, les Dresses L__________ et N________ ont, dans leur rapport du 21 juin 2011, indiqué que l'enfant ne présentait pas de troubles du comportement. A posteriori, la Dresse L__________ a déclaré devant la Cour de céans que son patient présentait des troubles du comportement caractérisés par de l'anxiété, de l'irritabilité, de la colère, de l'émotivité, un manque de confiance en lui-même, de l'agitation et une thymie fluctuante. Elle a également expliqué que l'enfant</w:t>
      </w:r>
    </w:p>
    <w:p>
      <w:r>
        <w:t>A/2926/2011 - 10/14 - présentait des difficultés relationnelles, une tendance au retrait et des difficultés dans l'ajustement social. De l'avis de la Cour, même si la Dresse L__________ a expliqué que les indications de son premier rapport étaient erronées et résultaient d'une mauvaise interprétation de la part de la Dresse I_________, l'on voit mal comment la question de savoir si l'enfant présentait des troubles du comportement pouvait à ce point prêter à confusion. Les signataires dudit rapport, soit les Dresses L__________ et I_________, ont d'ailleurs indiqué textuellement et de manière consensuelle que l'enfant ne présentait pas de troubles du comportement sur l'annexe à leur rapport. Il ne peut donc être retenu, au degré de la vraisemblance prépondérante, que les deux praticiennes se soient trompées, étant par ailleurs précisé qu'aucune indication dans leur anamnèse initiale ne laisse supposer que l'intéressé présentait effectivement un trouble du comportement dans le sens d'une atteinte pathologique de l'affectivité ou du contact. Elles ont en effet indiqué que l'enfant "rentrait facilement en relation", même s'il était plutôt agité et un peu logorrhéique. Il est dès lors pour le moins surprenant et totalement contradictoire que la Dresse L__________ décrive, plusieurs moins après la reddition de son premier rapport, une symptomatologie aussi importante. Ces nombreuses contradictions ne sauraient emporter la conviction de la Cour, au degré de la vraisemblance prépondérante. Quant au Dr M________, il apparait que, dans son analyse, il s'est borné à reprendre la description comportementale qui lui avait été faite de l'enfant, mentionnant qu' "il est décrit comme émotif et anxieux avec des difficultés face au changement et il peut manifester une irritabilité et de la colère". Certes ce médecin note-t-il la présence d'une impulsivité ainsi qu'un comportement oppositionnel et un important trouble de l'inhibition chez l'enfant. Il n'étaye cependant pas suffisamment ses conclusions pour que l'on puisse retenir un trouble du comportement. Faute de démonstration de troubles du comportement avant l’âge de 9 ans, l'infirmité congénitale n° 404 OIC ne saurait être admise. Compte tenu de ce qui précède, les conditions à la prise en charge du traitement en vertu de l'art. 13 LAI ne sont pas réunies en l'espèce.</w:t>
      </w:r>
    </w:p>
    <w:p>
      <w:r>
        <w:rPr>
          <w:b/>
        </w:rPr>
        <w:t>E. 9</w:t>
      </w:r>
    </w:p>
    <w:p>
      <w:r>
        <w:t>Reste à examiner si l'intimé devait allouer à l’enfant les mesures médicales requises en application de l'art. 12 LAI. a) Aux termes de l’art. 12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1er). Le Conseil fédéral est autorisé à délimiter les mesures prévues à</w:t>
      </w:r>
    </w:p>
    <w:p>
      <w:r>
        <w:t>A/2926/2011 - 11/14 - l’alinéa 1 par rapport à celles qui relève du traitement de l’affection comme telle. Il a fait usage de cette compétence en édictant l’art. 2 du règlement du 17 janvier 1961 sur l’assurance-invalidité (RAI). Selon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Si un acte médical réalise les conditions matérielles de l’art. 2 al. 1 RAI - ainsi par exemple, s’il s’agit d’un acte chirurgical, physiothérapeutique ou psychothérapeutique -, cela ne signifie pas encore qu’il soit reconnu comme une mesure médicale. En effet, c’est le but de l’acte médical qui est déterminant. Il faut donc déterminer si ledit acte médical vise le traitement d’une infirmité congénitale, d’une maladie ou d’une blessure ou s’il porte sur l’entrave à la mobilité du corps, des facultés sensorielles ou des possibilités de contact en résultant, afin d’améliorer de façon durable et importante la capacité de gain ou la capacité d’accomplir des travaux habituels ou préserver cette capacité d’une diminution notable (MEYER, Bundesgesetz über die Invalidenversicherung (IVG), 2010, p. 128). S’agissant plus particulièrement de la psychothérapie, il peut s’agir d’un traitement de l’affection en tant que telle ou d’une mesure médicale (RCC 1990 p. 539 ; voir également MEYER, op.cit., p. 129). La prise en charge des frais liés à une psychothérapie en cas d'atteintes psychiques acquises ne peut être accordée en vertu de l'art. 12 LAI, sous réserve de la réalisation des autres conditions de cette disposition, que si un traitement spécialisé intensif appliqué durant un an n'a pas apporté d'amélioration suffisante et que, selon les constatations du médecin spécialiste, on peut attendre de la poursuite du traitement qu'il pourra prévenir dans une mesure importante, la menace de lésions et de leurs influences négatives sur la formation professionnelle et l'exercice d'une activité lucrative (CMRM p. D4, n° 645 et suivants).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 RCC 1981 p. 519 consid. 3a).</w:t>
      </w:r>
    </w:p>
    <w:p>
      <w:r>
        <w:t>A/2926/2011 - 12/14 - b)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115 V 194 consid. 3, 112 V 349 consid. 2, 105 V 19 et 149, 104 V 82, 102 V 42). c)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Pour les jeunes assurés, une mesure médicale permet d'atteindre une amélioration durable au sens de l'art. 12 al. 1 LAI lorsque, selon toute vraisemblance, elle se maintiendra durant une partie significative des perspectives d'activités (ATF 104 V 79,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98 V 211 consid. 4b).</w:t>
      </w:r>
    </w:p>
    <w:p>
      <w:r>
        <w:rPr>
          <w:b/>
        </w:rPr>
        <w:t>E. 10</w:t>
      </w:r>
    </w:p>
    <w:p>
      <w:r>
        <w:t>En l’espèce, la question de l'adéquation et de l'efficacité de la mesure médicale peut rester ouverte, étant considéré que le traitement auprès de la Dresse GB________,</w:t>
      </w:r>
    </w:p>
    <w:p>
      <w:r>
        <w:t>A/2926/2011 - 13/14 - psychologue et psychothérapeute, n'a pas débuté au moins une année avant que la demande pour mineurs soit formulée. En effet, la demande a été présentée le 21 mars 2011 alors que le traitement a débuté le 10 avril 2011, de sorte qu'il était impossible pour l'OAI de déterminer si la mesure considérée était susceptible ou non d'apporter une amélioration suffisante.</w:t>
      </w:r>
    </w:p>
    <w:p>
      <w:r>
        <w:rPr>
          <w:b/>
        </w:rPr>
        <w:t>E. 11</w:t>
      </w:r>
    </w:p>
    <w:p>
      <w:r>
        <w:t>Faute de traitement intensif pendant au moins une année, c'est à juste titre que l'OAI a considéré que le traitement de psychothérapie ne pouvait pas être envisagé sous l'angle de l'art. 12 LAI.</w:t>
      </w:r>
    </w:p>
    <w:p>
      <w:r>
        <w:rPr>
          <w:b/>
        </w:rPr>
        <w:t>E. 12</w:t>
      </w:r>
    </w:p>
    <w:p>
      <w:r>
        <w:t>La Cour de céans attire néanmoins l'attention du recourant sur le fait que l'assurance-maladie a d'ores et déjà admis que le cas relevait de sa compétence. Aussi conviendra-t-il de s'adresser à elle pour la prise en charge des frais du traitement.</w:t>
      </w:r>
    </w:p>
    <w:p>
      <w:r>
        <w:rPr>
          <w:b/>
        </w:rPr>
        <w:t>E. 13</w:t>
      </w:r>
    </w:p>
    <w:p>
      <w:r>
        <w:t>Le recours, mal fondé, est rejeté dans le sens des considérants.</w:t>
      </w:r>
    </w:p>
    <w:p>
      <w:r>
        <w:rPr>
          <w:b/>
        </w:rPr>
        <w:t>E. 14</w:t>
      </w:r>
    </w:p>
    <w:p>
      <w:r>
        <w:t>Le recourant, qui succombe, est condamné au paiement d'un émolument de 200 fr. (art. 69 al. 1bis LAI).</w:t>
      </w:r>
    </w:p>
    <w:p>
      <w:r>
        <w:t>A/2926/2011 - 14/14 -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