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ATAS/974/2011 vom 18. Oktober 2011</w:t>
      </w:r>
    </w:p>
    <w:p>
      <w:r>
        <w:t>GE Cour de justice, 2011-10-18, FR</w:t>
      </w:r>
    </w:p>
    <w:p>
      <w:r>
        <w:rPr>
          <w:b/>
        </w:rPr>
        <w:t xml:space="preserve">Quelle: </w:t>
      </w:r>
      <w:r>
        <w:t>https://mcp.opencaselaw.ch/entscheid/ge_gerichte_ATAS_974_2011</w:t>
      </w:r>
    </w:p>
    <w:p>
      <w:r>
        <w:t>FR: GE_GERICHTE ATAS/974/2011 du 18 octobre 2011</w:t>
      </w:r>
    </w:p>
    <w:p>
      <w:r>
        <w:t>IT: GE_GERICHTE ATAS/974/2011 del 18 ottobre 2011</w:t>
      </w:r>
    </w:p>
    <w:p>
      <w:pPr>
        <w:pStyle w:val="Heading2"/>
      </w:pPr>
      <w:r>
        <w:t>Regeste</w:t>
      </w:r>
    </w:p>
    <w:p>
      <w:r>
        <w:t>Résumé: En matière d'assurance-vieillesse et survivants, ne constitue ni un fait nouveau ni un moyen de preuve nouveau au sens de l'article 53 al. 1 LPGA, un jugement de la Chambre des prud'hommes - rendu postérieurement à la décision litigieuse de la caisse de compensation - qui qualifie une activité donnée comme étant une activité indépendante car tombant sous les règles du contrat de mandat, alors que la caisse avait procédé à une appréciation juridique différente. En effet, pour fonder son appréciation, la caisse disposait de tous les éléments pertinents concernant les caractéristiques de l'assuré et détenait toutes les pièces et témoignages utiles permettant de prouver ces faits. Ainsi, l'appréciation juridique de droit civil de la Chambre des prud'hommes n'est pas un motif de révision de la décision de la caisse.</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au cas d’espèce.</w:t>
      </w:r>
    </w:p>
    <w:p>
      <w:r>
        <w:rPr>
          <w:b/>
        </w:rPr>
        <w:t>E. 3</w:t>
      </w:r>
    </w:p>
    <w:p>
      <w:r>
        <w:t>La recevabilité du recours a déjà été admise par arrêt incident du 10 février 2011.</w:t>
      </w:r>
    </w:p>
    <w:p>
      <w:r>
        <w:rPr>
          <w:b/>
        </w:rPr>
        <w:t>E. 4</w:t>
      </w:r>
    </w:p>
    <w:p>
      <w:r>
        <w:t>Le litige concerne le droit de la caisse de procéder à une révision, cas échéant une reconsidération de sa décision du 22 janvier 2007.</w:t>
      </w:r>
    </w:p>
    <w:p>
      <w:r>
        <w:rPr>
          <w:b/>
        </w:rPr>
        <w:t>E. 5</w:t>
      </w:r>
    </w:p>
    <w:p>
      <w:r>
        <w:t>a) En vertu de l’art. 53 LPGA, les décisions et les décisions sur opposition formellement passées en force sont soumises à révision si l’assuré ou l’assureur découvre subséquemment des faits nouveaux importants ou trouve des nouveaux</w:t>
      </w:r>
    </w:p>
    <w:p>
      <w:r>
        <w:t>A/57/2011 - 13/23 - moyens de preuve qui ne pouvaient être produits auparavant (al. 1er). L’assureur peut revenir sur les décisions ou les décisions sur opposition formellement passées en force lorsqu’elles sont manifestement erronées et que leur rectification revêt une importance notable (al. 2). b)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Sont «nouveaux», au sens de l'art. 137 let. b 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358 consid. 5b et les références). Ces notions, applicables à la révision des décisions rendues par les autorités judiciaires, le sont également lorsque l'administration est tenue de procéder à la révision d'une décision entrée en force formelle (cf. ATF 127 V 469 consid. 2c et les références; arrêt du 31 janvier 2006, cause I 8/05).</w:t>
      </w:r>
    </w:p>
    <w:p>
      <w:r>
        <w:t>A/57/2011 - 14/23 - c)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Lorsque l'erreur manifeste n'est constatée qu'au stade de la procédure judiciaire, le tribunal peut confirmer par substitution de motifs la suppression de la rente, mais il doit alors informer préalablement l'assuré de la substitution de motifs pour respecter son droit d'âtre entendu (ATF 125 V 268; 128 V 272). La violation du droit d'être entendu ne doit entraîner l'annulation de la décision que dans la mesure où la reconsidération de la décision n'a jamais été évoquée et où, par conséquent, aucune des parties ne pouvait en supputer la pertinence (ATF 128 V 272 et les références citées). En règle générale, l’octroi illégal de prestations est réputé sans nul doute erroné (ATF 126 V 399 consid. 2b/bb et les références citées). Conformément à ce qui</w:t>
      </w:r>
    </w:p>
    <w:p>
      <w:r>
        <w:t>A/57/2011 - 15/23 -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(ATF non publié du 2 juillet 2007, 9C_215/2007,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115 V 308 consid. 4a/cc).</w:t>
      </w:r>
    </w:p>
    <w:p>
      <w:r>
        <w:rPr>
          <w:b/>
        </w:rPr>
        <w:t>E. 6</w:t>
      </w:r>
    </w:p>
    <w:p>
      <w:r>
        <w:t>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w:t>
      </w:r>
    </w:p>
    <w:p>
      <w:r>
        <w:t>A/57/2011 - 16/23 - e. les pourboires, s’ils représentent une part importante du salaire; f. les prestations en nature ayant un caractère régulier; g. les provisions et les commissions. l. les honoraires des privat-docents et des autres personnes qui, dans l'enseignement, sont rétribués de manière analogue;</w:t>
      </w:r>
    </w:p>
    <w:p>
      <w:r>
        <w:rPr>
          <w:b/>
        </w:rPr>
        <w:t>E. 7</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w:t>
      </w:r>
    </w:p>
    <w:p>
      <w:r>
        <w:t>A/57/2011 - 17/23 -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d) Certaines activités ne requièrent par nature pas "d'investissements élevés" (comme par exemple celles de conseiller ou de collaborateur libre). Le rapport de dépendance est alors mis au premier plan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e) Le Tribunal Fédéral a retenu que la rémunération versée à une personne qui donne des cours dans un centre de formation, soit l'école club MIGROS, fait partie du salaire déterminant, la personne étant considérée comme salariée bien qu'elle soit affiliée en qualité d'indépendante à l'AVS. La rétribution touchée par celui qui donne régulièrement des cours dans une école, un centre de formation ou un centre de conférence fait aussi partie du salaire déterminant. Sont des indices déterminants dans ce sens le fait que l’enseignant ne participe pas aux investissements de l’organisateur du cours, qu’il ne supporte pas le risque d’encaissement et qu’il ne doive pas chercher lui-même des élèves. (ATFA du 16 décembre 1994, cause C.S, publié in VSI 4/1995, page 144). Les directives sur le salaire déterminant (DSD, état au 1er janvier 2011) précisent que ne font pas partie du salaire déterminant les rétributions pour des cours donnés occasionnellement (no 4014). f) Ces directives résument la jurisprudence ainsi: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Constituent notamment des indices révélant l’existence d’un risque économique d’entrepreneur le fait que l’assuré opère des investissements importants, encourt les pertes, supporte le risque d’encaissement et de ducroire, supporte les frais généraux, agit en son propre nom et pour son propre compte, se procure lui-même les mandats, occupe du personnel et utilise ses propres locaux commerciaux (no 1014 et 1015).</w:t>
      </w:r>
    </w:p>
    <w:p>
      <w:r>
        <w:t>A/57/2011 - 18/23 -</w:t>
      </w:r>
    </w:p>
    <w:p>
      <w:r>
        <w:rPr>
          <w:b/>
        </w:rPr>
        <w:t>E. 8</w:t>
      </w:r>
    </w:p>
    <w:p>
      <w:r>
        <w:t>La jurisprudence considère comme intérêt digne de protection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w:t>
      </w:r>
    </w:p>
    <w:p>
      <w:r>
        <w:rPr>
          <w:b/>
        </w:rPr>
        <w:t>E. 9</w:t>
      </w:r>
    </w:p>
    <w:p>
      <w:r>
        <w:t>Dans le cas d'espèce, la décision sur opposition du 25 novembre 2010 indique d'une part que la révision est justifiée par l'existence d'un moyen de preuve nouveau, et d'autre part, à titre subsidiaire, que la reconsidération est possible car la décision initiale était erronée. S'agissant de la révision selon l'art. 53 al. 1 LPGA, la demande de la SSEC a été faite en temps utile le 9 février 2009, soit moins de 90 jours après la notification de l'arrêt de la Chambre des prud'hommes notifié le 6 octobre 2008, compte tenu de la suspension des délais du 18 décembre au 2 janvier selon la PA. Par contre, ledit arrêt ne constitue manifestement ni un fait nouveau, ni un moyen de preuve nouveau pour la requérante en révision, soit la SSEC. D'une part, aucun fait nouveau inconnu de la SSEC ne s'est produit dans le délai de 30 jours suite à la décision sur opposition et que la SSEC aurait découvert à réception de l'arrêt précité. D'autre part, aucun fait nouveau important ne s'est produit ultérieurement et les faits retenus par la juridiction des prud'hommes, connus de la SSEC, pouvaient fort bien être prouvés par celle-ci dans le cadre d'un recours devant le Tribunal cantonal des assurances sociales contre la décision sur opposition de la caisse. Pour qu'une révision ait lieu, il faut que le requérant (la SSEC) démontre qu'elle ne pouvait invoquer dans la précédente procédure les moyens de preuve - nouveaux- et ce à son détriment. Or, si l'arrêt de la juridiction des prud'hommes a certes été rendu après le délai de recours contre la décision de la caisse, il n'en demeure pas moins que la SSEC connaissait tous les faits pertinents concernant les caractéristiques de l'activité de l'assuré et détenait toutes les pièces et témoignages utiles permettant de prouver ces faits durant la procédure d'opposition. Ainsi, l'appréciation juridique de droit civil de la Chambre des prud'hommes n'est pas un motif de révision de la décision de reprise de la caisse.</w:t>
      </w:r>
    </w:p>
    <w:p>
      <w:r>
        <w:rPr>
          <w:b/>
        </w:rPr>
        <w:t>E. 10</w:t>
      </w:r>
    </w:p>
    <w:p>
      <w:r>
        <w:t>S'agissant de la reconsidération au sens de l'art 53 al. 2 LPGA, il convient tout d'abord de déterminer le statut de l'assuré, pour décider si la décision initiale était manifestement erronée, sur la base des faits relevés par l'arrêt de la chambre des prud'hommes et ceux ressortant de l'instruction de la chambre des assurances sociales, en particulier les pièces et l'audition du témoin, rien ne permettant de douter des déclarations de celui-ci.</w:t>
      </w:r>
    </w:p>
    <w:p>
      <w:r>
        <w:t>A/57/2011 - 19/23 - En préambule, il faut rappeler que la détermination de la réelle et commune volonté des parties quant à la conclusion d'un contrat de mandat ou de travail, telle qu'examinée du point de vue du droit civil par la juridiction des prud'hommes, ne lie pas la Chambre des assurances sociales. Il ne fait toutefois aucun doute que cette volonté concordante était que le recourant soit lié par un contrat de mandat et ait un statut d'indépendant. Cela ressort des pourparlers sur le montant du tarif pratiqué, que l'assuré voulait voir fixé à 80 fr./heure faisant état de ses charges d'indépendant, des contrats d'assurance-accident et perte de gain conclus à titre d'indépendant et du libellé de la facturation. C'est ainsi en vain que l'assuré prétend avoir insisté pour obtenir un contrat de travail, ce dont le témoin se serait souvenu et qu'il soutient qu'on l'aurait pratiquement contraint à accepter un tarif de 80 fr./heure après lui avoir proposé 100 fr./heure, ce que le témoin a clairement exclu. Il est aussi établi que la société n'aurait jamais admis un tarif horaire de 80fr./heure, s'il convenait d'y ajouter les charges sociales. Ainsi, l'activité salariée dans le cadre des mesures cantonales était rémunérée à 26 fr./heure et les deux autres formateurs dont le salaire a été repris étaient payés entre 40 fr. et 45 fr./heure. Cela étant, cette volonté concordante n'est pas déterminante du point de vue de l'AVS. Par contre, certains éléments de fait retenus par la juridiction des prud'hommes sont pertinents. En premier lieu, il est établi que l'assuré et les autres formateurs auprès d'ID X___________ ne recevaient pas d'instruction sur la manière de dispenser les cours, quant au matériel et même au contenu des cours et qu'ils étaient assez libres dans l'organisation de leur travail. Seule la matière à enseigner était convenue et rediscutée en fonction du public de stagiaires. Cet élément est important mais il n'est pas déterminant, à lui seul, dès lors que tous les enseignants seraient alors indépendants et que le mandataire doit lui aussi suivre les instructions de son mandant, le Tribunal Fédéral ayant d'ailleurs eu l'occasion de se prononcer sur cette question. En deuxième lieu, le rapport de subordination entre ces formateurs et ID X___________ ou à la SSEC est délicat à déterminer. Le critère du travail effectué par le mandant sous sa propre responsabilité (mandant) ou sous celle de l'employeur (salarié) ne permet pas de trancher la question, car on discerne mal dans quel cas la responsabilité du formateur serait engagée. L'assuré ne mettait pas à proprement parler son temps à disposition de la société - à la différence de ce qu'il faisait dans le cadre des mesures cantonales, ce qui permettait alors à celle-ci de lui confier des activités administratives, en sus du suivi individuel des stagiaires - mais il lui rendait le service convenu, à savoir le séminaire prévu. La limite entre ces deux éléments est toutefois ténue, dès lors que l'assuré a régulièrement dispensé son cours durant 17 mois. Par contre, il est établi que l'assuré a toujours exécuté personnellement la tâche confiée. Cela n'exclut toutefois pas en soi l'exercice d'une activité indépendante.</w:t>
      </w:r>
    </w:p>
    <w:p>
      <w:r>
        <w:t>A/57/2011 - 20/23 - En troisième lieu, le fait que les jours de cours soient convenus à l'avance, et qu'ils soient dispensés dans les locaux de la société, le cas échéant avec du matériel informatique ou de projection mis à disposition ne détermine pas le statut de salarié, dès lors que le conférencier qui donne une unique conférence à l'Université, en ce lieu et à une date fixée n'est pas pour autant salarié de celle-ci. En quatrième lieu, il est établi que ces formateurs, y compris l'assuré, n'avaient pas de garantie quant à la régularité des cours, ils étaient sollicités pour les donner un mois à l'avance et les cours n'étaient pas rémunérés s'ils étaient annulés. Ce fait est un des éléments typiques du statut d'indépendant, lié au risque financier de l'entrepreneur, mais il n'est pas suffisant pour admettre ce statut. Cela est d'autant plus vrai pour l'assuré, qui, sans avoir de garantie quant aux nombres de cours, a néanmoins très régulièrement donné des séminaires, chaque mois, en tout cas de novembre 2004 à mars 2005, voire mars 2006, pour un nombre d'heures oscillant entre 28 et 56, calculés sur la base du taux horaire de 80fr. Il réalisait donc un revenu régulier et relativement stable et cette collaboration régulière est un des critère important de l'activité dépendante. En cinquième lieu, la situation des divers formateurs diffère sensiblement du point de vue des critères du risque financier, de l'investissement et de l'engagement de son propre personnel, ainsi que de la dépendance financière. Le genre d'activité déployée, à l'instar de celle de conseil, ne nécessite pas en soi d'investissements importants : un ordinateur, une clef USB, un téléphone, quelques manuels didactiques et un bloc note suffisent pour préparer et dispenser des cours. Le Tribunal fédéral a toutefois admis qu'un investissement limité est compatible avec une activité dépendante. L'assuré n'a pas loué de locaux pour l'exercice de cette activité et il n'a pas engagé de personnel. Tel est manifestement le cas de sociétés telles que Démarche Eduqua, certifiée du label du même nom, qui est une société coopérative active dans plusieurs domaines, dont la formation, qui a du personnel, des locaux commerciaux, soit des charges fixes qu'elle doit assumer même en l'absence de mandats d'ID X___________ et qui n'a offert ses services que deux fois par an en juin et décembre 2004 et 2005, le montant facturé étant variable. Cette société a donc d'autres clients, ne dépend pas d'une seule entreprise et assume pleinement le risque financier de l'entrepreneur. L'entreprise Y___________ Ressources fournit des prestations suffisamment variables en importance pour admettre qu'elle a du personnel, et qu'en conséquence, la tâche confiée n'est pas exécutée personnellement. Il s'avère de plus que la fréquence et l'importance des cours donnés sont assez variables d'un enseignant à l'autre. Certains sont régulièrement sollicités, mais pour de petites prestations. D'autres le sont irrégulièrement et pour des mandats d'importance très variable, ce qui implique qu'ils ont donc d'autres clients et qu'il n'y a pas de régularité dans la collaboration. A l'inverse, l'assuré tire un revenu régulier de cette activité, qu'il exerce chaque mois, et il n'a pas d'autres clients, de</w:t>
      </w:r>
    </w:p>
    <w:p>
      <w:r>
        <w:t>A/57/2011 - 21/23 - sorte que le critère de la dépendance, déterminant à défaut d'investissements élevés, est réalisé. En effet, si l'assuré perd son mandat pour ID X___________, il se retrouve dans la situation d'un salarié qui perd son emploi. Ces distinctions peuvent d'ailleurs déterminer des activités dépendantes et indépendantes au profit d'une seule entreprise pour des personnes qui exercent toutefois le même métier. C'est ainsi sans surprise que les sociétés et autres formateurs ont un statut incontesté d'indépendant eu égard à l'irrégularité de la collaboration, au risque économique de l'entrepreneur encouru et à l'absence de dépendance. Le fait que l'assuré ait déployé, par le passé ou durant la même période, une autre activité indépendante dans le domaine de l'assurance est sans conséquence, le Tribunal fédéral ayant confirmé qu'un assuré peut fort bien avoir les deux statuts. De même, le fait que la SSEC ait exclu de salarier les formateurs n'est pas déterminant, la protection des droits des travailleurs salariés à l'égard de l'AVS devant être garantie si les conditions d'une activité dépendante sont réunies.</w:t>
      </w:r>
    </w:p>
    <w:p>
      <w:r>
        <w:rPr>
          <w:b/>
        </w:rPr>
        <w:t>E. 11</w:t>
      </w:r>
    </w:p>
    <w:p>
      <w:r>
        <w:t>Ainsi, force est de constater, à l'issue de la longue instruction menée par la Cour, que l'on ne peut pas soutenir que le statut de salarié ou d'indépendant de l'assuré était clair au point de ne faire aucun doute lors de la décision initiale. Ainsi, une reconsidération est exclue si le statut d'indépendant est retenu en raison d'une nouvelle appréciation des faits, après un examen plus approfondi de la situation, alors que la décision de reprise du revenu qualifié de salarié paraît admissible compte tenu de la situation de fait, telle quelle était appréciée lors de la décision initiale. En l'espèce, il s'avère que la caisse a effectué les reprises de salaire sans procéder à aucune investigation concernant les éléments de fait permettant d'établir si les critères du revenu de dépendant étaient réunis. Elle s'est fondée sur l'absence d'affiliation à une caisse AVS en tant qu'indépendant de trois formateurs pour déterminer que le revenu réalisé relevait du salaire. Ce faisant, elle a néanmoins procédé à une appréciation du cas, au demeurant confirmée sur opposition de la SSEC, et une appréciation différente fondée sur les faits relevés par l'arrêt de la chambre d'appel des prud'hommes ne permettait pas à la caisse de procéder à une reconsidération. Ainsi, la décision de reconsidération du 17 juin 2009 doit être annulée, dès lors que la décision initiale n'est pas manifestement infondée.</w:t>
      </w:r>
    </w:p>
    <w:p>
      <w:r>
        <w:rPr>
          <w:b/>
        </w:rPr>
        <w:t>E. 12</w:t>
      </w:r>
    </w:p>
    <w:p>
      <w:r>
        <w:t>L'assuré a clairement indiqué par courrier du 4 juillet 2006 que la décision initiale de la caisse du 28 juin 2006 - considérant les montants versés dès janvier 2005 comme du salaire - lui permettrait de s'inscrire au chômage. C'est dans ce but d'ailleurs qu'il a insisté pour que les salaires versés en 2006 fassent aussi l'objet d'une reprise tout en affirmant que les montants perçus en 2004 étaient, eux, des revenus d'indépendant, alors que l'activité était strictement identique et de même intensité de novembre 2004 à mars 2006. A cet égard, les explications alambiquées de l'assuré sur son intérêt à maintenir son recours, malgré la prescription de la</w:t>
      </w:r>
    </w:p>
    <w:p>
      <w:r>
        <w:t>A/57/2011 - 22/23 - créance de la caisse a l'égard de la SSEC, sont incompréhensibles, alors que cet intérêt existe. Toutefois, et compte tenu de l'issue de la procédure, il n'est pas nécessaire d'examiner cette question plus avant, ni de trancher la violation du droit d'être entendu invoquée par l'assuré, lorsque la caisse a justifié sa décision sur la base d'une reconsidération au lieu d'une révision, sans lui donner l'occasion de s'exprimer. De plus, l'examen de la bonne foi de l'assuré lors des pourparlers contractuels, du cumul entre mesure cantonale et mandat auprès de la même entité, du cumul des fonctions de directrice d'ID X___________ et d'associée gérante de Y___________ ressources Sàrl de mars 2005 à mars 2006, société ayant obtenu des mandats pour plus de 125'000 fr. en 2005 sur un total annuel de 216'000 fr. pour la formation des stagiaires, n'est pas de la compétence de la Cour de céans.</w:t>
      </w:r>
    </w:p>
    <w:p>
      <w:r>
        <w:rPr>
          <w:b/>
        </w:rPr>
        <w:t>E. 13</w:t>
      </w:r>
    </w:p>
    <w:p>
      <w:r>
        <w:t>Le recours est donc admis, la décision du 25 novembre 2010 est annulée et le recourant, qui obtient gain de cause, a droit à une indemnité de procédure limitée à 2'500 fr.</w:t>
      </w:r>
    </w:p>
    <w:p>
      <w:r>
        <w:t>A/57/2011 - 23/23 -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