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ATAS/973/2012 vom 27. September 2011</w:t>
      </w:r>
    </w:p>
    <w:p>
      <w:r>
        <w:t>GE Cour de justice, 2011-09-27, FR</w:t>
      </w:r>
    </w:p>
    <w:p>
      <w:r>
        <w:rPr>
          <w:b/>
        </w:rPr>
        <w:t xml:space="preserve">Quelle: </w:t>
      </w:r>
      <w:r>
        <w:t>https://mcp.opencaselaw.ch/entscheid/ge_gerichte_ATAS_973_2012</w:t>
      </w:r>
    </w:p>
    <w:p>
      <w:r>
        <w:t>FR: GE_GERICHTE ATAS/973/2012 du 27 septembre 2011</w:t>
      </w:r>
    </w:p>
    <w:p>
      <w:r>
        <w:t>IT: GE_GERICHTE ATAS/973/2012 del 27 settembre 2011</w:t>
      </w:r>
    </w:p>
    <w:p>
      <w:pPr>
        <w:pStyle w:val="Heading2"/>
      </w:pPr>
      <w:r>
        <w:t>Erwägungen</w:t>
      </w:r>
    </w:p>
    <w:p>
      <w:r>
        <w:rPr>
          <w:b/>
        </w:rPr>
        <w:t>E. 1</w:t>
      </w:r>
    </w:p>
    <w:p>
      <w:r>
        <w:t>Conformément à l'art. 134 al. 1 let. a ch. 3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Cour est donc compétente à raison de la matière.</w:t>
      </w:r>
    </w:p>
    <w:p>
      <w:r>
        <w:rPr>
          <w:b/>
        </w:rPr>
        <w:t>E. 2</w:t>
      </w:r>
    </w:p>
    <w:p>
      <w:r>
        <w:t>Formé dans la forme et le délai prescrits, le recours est recevable (art. 60 et 61 let. b LPGA).</w:t>
      </w:r>
    </w:p>
    <w:p>
      <w:r>
        <w:rPr>
          <w:b/>
        </w:rPr>
        <w:t>E. 3</w:t>
      </w:r>
    </w:p>
    <w:p>
      <w:r>
        <w:t>Est litigieuse la question de savoir si l'intimé était fondé à imputer les montants de 36'763 fr. à titre de biens dessaisis et de 147 fr. 05 à titre de produit sur les biens dessaisis.</w:t>
      </w:r>
    </w:p>
    <w:p>
      <w:r>
        <w:rPr>
          <w:b/>
        </w:rPr>
        <w:t>E. 4</w:t>
      </w:r>
    </w:p>
    <w:p>
      <w:r>
        <w:t>Il convient, en premier lieu, de relever que le fait que le dessaisissement retenu dans les décisions antérieures à celle de septembre 2011 n'ait pas été contesté, ne permet pas de considérer que cette question ne peut plus être remise en cause à l'occasion d'une nouvelle décision. En effet, seul le dispositif des décisions précédentes et non à leurs motifs est revêtu de la chose jugée (ATF 115 V 418 consid. 3b/aa ; 113 V 159; ATF np 9C_58/2012 du 8 juin 2012, consid. 4.1. et 4.2). Les constatations de fait de la décision et les considérants de celle-ci ne participent pas de la force matérielle; ils n’ont aucun effet contraignant dans le cadre d’une procédure ultérieure (ATF 121 III 478 consid. 4a). Partant, s'il est manifeste que la Cour ne peut revenir sur les décisions antérieures, passées en force, rien ne s'oppose à ce qu'elle examine si c'est à juste titre que l'intimé a retenu l'existence d'un dessaisissement pour la période à compter du 1er août 2011.</w:t>
      </w:r>
    </w:p>
    <w:p>
      <w:r>
        <w:t>A/1443/2012 - 4/7 - 5.a. Aux termes de l’art. 11 al. 1er LPC, les revenus déterminants pour fixer le droit aux prestations complémentaires comprennent, notamment, le produit de la fortune mobilière et immobilière (let. b), un quinzième de la fortune nette; les rentes, pensions et autres prestations périodiques, y compris les rentes de l’AVS et de l’AI (let. d), les ressources et parts de fortune dont un ayant droit s’est dessaisi (let. g). L’art. 11 al. 2 LPC prévoit que, pour les personnes vivant dans un home ou dans un hôpital, les cantons peuvent fixer le montant de la fortune qui sera pris en compte en dérogeant à l’al. 1er let. c. Les cantons sont autorisés à augmenter, jusqu’à concurrence d’un cinquième, ce montant. Le canton de Genève a fait usage de cette possibilité, fixant la prise en compte de la fortune, pour les bénéficiaires de rente de vieillesse, à un cinquième (art. 5 let. c LPCC). On parle de dessaisissement lorsque l'assuré renonce à une part de fortune sans obligation légale et sans contre-prestation adéquate (ATF 123 V 35; 121 V 205 consid. 4a, 117 V 289 consid. 2). Dans ce cas, le revenu déterminant est augmenté aussi bien d'une fraction de la valeur du bien cédé que de celle du produit que ce bien aurait procuré à l'ayant droit (ATF 123 V 35 consid. 1 et 2). En effet,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(ATF np B. 200/2004). Par ailleurs, il y a lieu de prendre en compte tout dessaisissement, sans limite de temps. Cette jurisprudence s’applique mutatis mutandis en matière de prestations complémentaires cantonales. L'art. 17a OPC-AVS/AI décrit la façon dont il faut prendre en considération la fortune et d'éventuels dessaisissements dans le calcul de la prestation complémentaire; la valeur de la fortune lors du dessaisissement doit être reportée telle quelle au premier janvier de l'année suivante, puis être réduite chaque année (al. 2) de 10'000 fr. (al. 1) jusqu'au premier janvier de l'année pour laquelle la prestation est servie (al. 3). On présume ainsi que l'ayant droit, à supposer qu'il ne se soit pas dessaisi de sa fortune, en aurait mis une partie à contribution pour subvenir à ses besoins; il existe, dans cette mesure, un certain parallélisme avec l'art. 3c al. 1 let. c aLPC; l'amortissement prévu par l'art. 17a OPC-AVS/AI n'est cependant admis que sous la forme d'un forfait indépendant du montant exact de la fortune dessaisie ou de celle dont dispose encore l'ayant droit (ATF 118 V 150 consid. 3). b. La portée du principe inquisitoire applicable au domaine des assurances sociales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w:t>
      </w:r>
    </w:p>
    <w:p>
      <w:r>
        <w:t>A/1443/2012 - 5/7 - conséquences de l'absence de preuves (ATF 130 I 183 consid. 3.2, 125 V 195 consid. 2).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 non publié P 4/05 du 29 août 2005, consid. 5.3.2; VSI 1994 p. 227 consid. 4b; VSI 1995, p. 176). c. Dans le domaine des assurances sociales,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130 III 324 s. consid. 3.2 et 3.3; 126 V 360 consid. 5b; 125 V 195 consid. 2). d. La taxation fiscale est présumée conforme à la réalité; cette présomption ne peut être infirmée que par des faits.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(cf. ATF np 9C_303/2011 du 28 novembre 2011, consid. 3; ATF 110 V 83 consid. 4; 106 V 130 consid. 1; 102 V 30 consid. 3a).</w:t>
      </w:r>
    </w:p>
    <w:p>
      <w:r>
        <w:rPr>
          <w:b/>
        </w:rPr>
        <w:t>E. 6</w:t>
      </w:r>
    </w:p>
    <w:p>
      <w:r>
        <w:t>En l'espèce, l'administration fiscale a retenu, pour 2003, une fortune mobilière pour le couple de la recourante de 337'553 fr., soit 146'269 fr. pour l'époux et 191'284 fr. pour elle. La taxation rectifiée de 2004 retient une fortune totale de 347'896 fr., soit 156'460 fr. et 191'436 fr. pour chaque époux. En 2005 enfin, l'avis de taxation rectifié du 26 mars 2008 se fonde sur une fortune totale du couple de 299'436 fr., soit 115'852 fr. et 183'584 fr. pour chaque époux. Ces décisions sont entrées en force.</w:t>
      </w:r>
    </w:p>
    <w:p>
      <w:r>
        <w:t>L'intimé a retenu le chiffre de 229'433 fr. à titre de fortune pour 2005, qui est le montant ressortant de la première taxation, effectuée le 25 juillet 2006. Toutefois, dès lors que celle-ci a été rectifiée, d'une part, et que, d'autre part, il n'apparaît pas</w:t>
      </w:r>
    </w:p>
    <w:p>
      <w:r>
        <w:t>A/1443/2012 - 6/7 - que l'avis de taxation rectifié soit entaché d'une erreur manifeste, la Cour ne s'écartera pas de ce dernier.</w:t>
      </w:r>
    </w:p>
    <w:p>
      <w:r>
        <w:t>Ainsi, en comparant la fortune existant au 31 décembre 2003 avec celle existant au 31 décembre 2005 - dates prises en considération par l'intimé -, la diminution du patrimoine conjugal s'élève à 38'117 fr. (337'553 fr. - 299'436 fr.). Compte tenu des dépenses reconnues de 21'357 fr. pour les frais d'hospitalisation en 2005 du défunt mari de la recourante, la diminution de fortune se monte à 16'760 fr. (38'117 fr. - 21'357 fr.). Au vu d'un amortissement admis de 10'000 fr. par année, le dessaisissement n'a plus d'effets en 2011.</w:t>
      </w:r>
    </w:p>
    <w:p>
      <w:r>
        <w:t>Il en irait de même si l'on comparait la diminution de fortune entre 2004 et 2005. Celle-ci était de 48'460 fr. (347'896 fr. - 299'436 fr.). Amortie sur cinq ans à hauteur de 10'000 fr. par année, la somme imputable à titre de dessaisissement serait également de zéro.</w:t>
      </w:r>
    </w:p>
    <w:p>
      <w:r>
        <w:t>Au vu de ce qui précède, il convient d'admettre le recours et de renvoyer le dossier à l'intimé, afin qu'il calcule le droit aux prestations pour la période à compter du 1er août 2011 en écartant le montant retenu à titre de dessaisissement (36'763 fr.) ainsi que celui des intérêts hypothétiques calculés sur celui-ci (147 fr. 05).</w:t>
      </w:r>
    </w:p>
    <w:p>
      <w:r>
        <w:rPr>
          <w:b/>
        </w:rPr>
        <w:t>E. 7</w:t>
      </w:r>
    </w:p>
    <w:p>
      <w:r>
        <w:t>La recourante, qui obtient gain de cause et est représentée par son fils, se voit allouer une indemnité de 500 fr. à titre de dépens (art. 89H LPA). Pour le surplus, la procédure est gratuite.</w:t>
      </w:r>
    </w:p>
    <w:p>
      <w:r>
        <w:t>* * *</w:t>
      </w:r>
    </w:p>
    <w:p>
      <w:r>
        <w:t>A/1443/2012 - 7/7 - PAR CES MOTIFS, LA CHAMBRE DES ASSURANCES SOCIALES : Statuant A la forme : 1. Déclare le recours recevable. Au fond : 2. L'admet et annule la décision du 27 septembre 2011. 3. Renvoie la cause à l'intimé pour nouvelle décision au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