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ATAS/973/2011 vom 18. Oktober 2011</w:t>
      </w:r>
    </w:p>
    <w:p>
      <w:r>
        <w:t>GE Cour de justice, 2011-10-18, FR</w:t>
      </w:r>
    </w:p>
    <w:p>
      <w:r>
        <w:rPr>
          <w:b/>
        </w:rPr>
        <w:t xml:space="preserve">Quelle: </w:t>
      </w:r>
      <w:r>
        <w:t>https://mcp.opencaselaw.ch/entscheid/ge_gerichte_ATAS_973_2011</w:t>
      </w:r>
    </w:p>
    <w:p>
      <w:r>
        <w:t>FR: GE_GERICHTE ATAS/973/2011 du 18 octobre 2011</w:t>
      </w:r>
    </w:p>
    <w:p>
      <w:r>
        <w:t>IT: GE_GERICHTE ATAS/973/2011 del 18 ottobre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 consid. 4b et les références). En l’espèce, le présent recours concerne le droit à des prestations dès le 1er avril 2000, à savoir à une date antérieure à l’entrée en vigueur de la LPGA. En conséquence, le présent cas reste régi par la législation en vigueur jusqu’au 31 décembre 2002, étant précisé que les règles de procédure quant à elles s'appliquent sans réserve dès le jour de l’entrée en vigueur de la LPGA (ATF 117 V 93 consid. 6b, 112 V 360 consid. 4a; RAMA 1998 KV 37 p. 316 consid. 3b). Pour les mêmes raisons, les dispositions de la novelle du 21 mars 2003 modifiant la LAI (4ème révision), entrée en vigueur le 1er janvier 2004 et les modifications de la LAI du 6 octobre 2006 (5ème révision) entrées en vigueur le 1er janvier 2008 ne sont pas applicables (ATF 127 V 467 consid. 1). Dans la mesure où elles ont été</w:t>
      </w:r>
    </w:p>
    <w:p>
      <w:r>
        <w:t>A/1844/2010 - 21/29 - modifiées par la novelle, les dispositions ci-après sont donc citées dans leur version antérieure au 1er janvier 2004. Une éventuelle aggravation dès avril 2005, date du second accident, serait alors soumise aux dispositions entrées en vigueur le 1er janvier 2004 (ATF 130 V 445 et les références; voir également ATF 130 V 329).</w:t>
      </w:r>
    </w:p>
    <w:p>
      <w:r>
        <w:rPr>
          <w:b/>
        </w:rPr>
        <w:t>E. 3</w:t>
      </w:r>
    </w:p>
    <w:p>
      <w:r>
        <w:t>Le recours interjeté respectant les forme et délai prévus par la loi (art. 56 à 60 LPGA), sera déclaré recevable.</w:t>
      </w:r>
    </w:p>
    <w:p>
      <w:r>
        <w:rPr>
          <w:b/>
        </w:rPr>
        <w:t>E. 4</w:t>
      </w:r>
    </w:p>
    <w:p>
      <w:r>
        <w:t>Le litige porte sur l’évaluation de l’invalidité du recourant, en particulier sur la capacité de travail résiduelle de celui-ci dans une activité adaptée et sur le revenu sans invalidité à prendre en compte.</w:t>
      </w:r>
    </w:p>
    <w:p>
      <w:r>
        <w:rPr>
          <w:b/>
        </w:rPr>
        <w:t>E. 5</w:t>
      </w:r>
    </w:p>
    <w:p>
      <w:r>
        <w:t>a) Selon l’art. 4 al. 1 LAI, l’invalidité est la diminution de la capacité de gain, présumée permanente ou de longue durée, qui résulte d’une atteinte à la santé physique ou mentale provenant d’une infirmité congénitale, d’une maladie ou d’un accident. b) Selon l’art. 4 al. 2 LAI,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dans sa version en vigueur avant la 5e révision de la loi,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c) Selon l’art. 28 al. 1er LAI dans sa teneur en vigueur jusqu’au 31 décembre 2003, l’assuré a droit à une rente entière s’il est invalide à 66 2/3% au moins, à une demi- rente s’il est invalide à 50% au moins, ou à un quart de rente s’il est invalide à 40% au moins ; dans les cas pénibles, l’assuré peut, d’après l’art. 28 al. 1bis LAI, prétendre à une demi-rente s’il est invalide à 40% au moins.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w:t>
      </w:r>
    </w:p>
    <w:p>
      <w:r>
        <w:t>A/1844/2010 - 22/29 -</w:t>
      </w:r>
    </w:p>
    <w:p>
      <w:r>
        <w:rPr>
          <w:b/>
        </w:rPr>
        <w:t>E. 6</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Tribunal fédéral admet la référence au groupe des tableau « A » de l’Enquête suisse sur la structure des salaires (ESS), correspondant aux salaires bruts standardisés, pour déterminer le revenu qu’on peut raisonnablement exiger d’un invalide en dépit de son atteinte à la santé lorsqu’aucun revenu effectif n’est réalisé (cf. ATF 124 V 321). Il convient en outre de toujours se rapporter à la valeur médiane. L’ESS a pour objectif de fournir des informations ayant valeur représentative pour toute la Suisse (large éventail d’activités variées et compatibles avec des limitations fonctionnelles peu contraignantes ; cf. ATF 129 V 472 consid. 4.2) ; elle englobe des données salariales provenant d’entreprises de toute taille dans les branches extérieures au secteur agricole, quelque soit le taux d’occupation, la position hiérarchique, l’exigence du poste ou le niveau de formation. Lors de l'examen de la mise en valeur de la capacité de travail résiduelle, on ne saurait se fonder sur des possibilités de travail irréalistes. Ainsi, on ne peut parler d'une activité exigible au sens de l'art. 16 LPGA (auquel renvoie l'art. 28 al. 2 LAI), lorsqu'elle ne peut être exercée que sous une forme tellement restreinte qu'elle</w:t>
      </w:r>
    </w:p>
    <w:p>
      <w:r>
        <w:t>A/1844/2010 - 23/29 - n'existe pratiquement pas sur le marché général du travail ou que son exercice suppose de la part de l'employeur des concessions irréalistes et que, de ce fait, il semble exclu de trouver un emploi correspondant (ATF non publié 9C_1035/2009 du 22 juin 2010). c)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c) En matière d'appréciation des preuves, le juge doit examiner objectivement tous les documents à disposition, quelle que soit leur provenance, puis décider s'ils permettent de porter un jugement valable sur le droit litigieux. Il ne peut écarter un</w:t>
      </w:r>
    </w:p>
    <w:p>
      <w:r>
        <w:t>A/1844/2010 - 24/29 - rapport médical au seul motif qu'il est établi par le médecin interne d'un assureur social, respectivement par le médecin traitant (ou l'expert privé) de la personne assurée, sans examiner autrement sa valeur probante.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 invalidité (ATF 125 V 351 consid. 3c ; ATFA non publié I 321/03 du 29 octobre 2003, consid. 3.1 et ATF non publié 8C_558/2008 du 17 mars 2009, consid. 2.4.2).</w:t>
      </w:r>
    </w:p>
    <w:p>
      <w:r>
        <w:rPr>
          <w:b/>
        </w:rPr>
        <w:t>E. 8</w:t>
      </w:r>
    </w:p>
    <w:p>
      <w:r>
        <w:t>Dans le cas d'espèce, il faut rappeler qu'il n'y a pas de hiérarchie entre l'expertise ordonnée par un assureur et celle faite à la demande de l'assuré, seul le contenu des rapports compte pour admettre ou pas leur valeur probante. Or, tant l'expertise du CEMED, du point de vue somatique en tout cas et celle du Dr I_________ sont, en majeure partie, probantes. En premier lieu, l'expertise du CEMED est convaincante, sur le plan somatique. Elle est fondée sur une anamnèse détaillée, des constatations objectives, elle tient compte des plaintes de l'assuré, de l'ensemble des rapports médicaux au dossier et ses conclusions sont claires, nuancées et convaincantes, les conclusions sont d'ailleurs partagées par le Dr I_________, sauf sur deux points, soit les conséquences du TCC et l'incidence des limitations sur la capacité de travail. S'agissant des constatations objectives du point de vue ostéo-articulaire, celles du CEMED sont partagées par le Dr I_________, le prof. V__________ et les médecins traitants de l'assuré. Sans qu'il soit nécessaire de revenir en détail sur les diagnostics retenus, tous les médecins retiennent une grave impotence du membre</w:t>
      </w:r>
    </w:p>
    <w:p>
      <w:r>
        <w:t>A/1844/2010 - 25/29 - supérieur droit et d'autres limitations fonctionnelles au niveau de l'épaule gauche, du dos et des genoux. Dans son dernier avis, le SMR retient sur la base de l'ensemble des avis, y compris celui du Prof V__________, que les limitations fonctionnelles retenues en 2009 par le CEMED sont à appliquer aux deux épaules, de sorte que la capacité de travail résiduelle dans une activité adaptée reste identique. De plus, tous les médecins retiennent que les limitations fonctionnelles doivent être strictement limitées, à défaut de quoi, toute activité est exclue. Ces limitations sont: pour les deux membres supérieurs: pas d'activité nécessitant de la force, des gestes répétitifs, et des ports de charge (voire aucune activité au niveau ou au dessus de l'épaule droite); pour les genoux : pas de position accroupie, à genoux, nécessitant de se déplacer sur des terrains en pente ou irréguliers; pour le rachis cervical et lombaire : pas d'activité nécessitant des ports de charges, une position statique plus de 30 minutes ou penchée en avant. Les experts du CEMED nuancent leurs propos en retenant que, bien que sauf pour l'épaule droite, chacune des atteintes ne justifie pas d'incapacité de travail dans un poste adapté, l'ensemble des atteintes entraîne un abaissement du seuil douloureux, intriqué dans un contexte social et assécurologique complexe. Le Dr I_________ expose quant à lui que les pathologies du rachis et des membres inférieurs ont tendance à se potentialiser, et il procède ainsi également à une appréciation globale lorsqu'il affirme qu'il ne faut pas simplement additionner chaque limitation. Toutefois, le Dr I_________ ne convainc pas lorsqu'il retient une totale incapacité de travail définitive depuis 1999, qui n'est en tout cas pas justifiée du seul point de vue ostéo-articulaire, étant précisé que cet expert n'est spécialiste ni en psychiatrie, ni en oto-rhino-laryngologie. Pour ce qui est de l'acouphène et des douleurs à la mastication, aucun des médecins consultés ne parvient à objectiver l'intensité de la gène décrite par l'assuré, qui admet d'ailleurs que l'acouphène est suffisamment faible pour être couvert par les bruits de jour et se plaint pour le surplus de devoir couper les pommes pour les manger sans souffrir, de sorte qu'il paraît démontré au degré de la vraisemblance prépondérante que ces troubles n'ont pas d'incidence sur la capacité de travail de l'assuré. Le fait qu'un acouphène grave soit coté pour déterminer une IPAI n'est pas déterminant pour admettre que l'acouphène de l'assuré - au demeurant léger - a des répercussions sur sa capacité de travail. S'agissant des plaintes somatiques de l'assuré, tant les médecins du CEMED que celui des EPI ont mis en exergue l'exagération des symptômes somatiques. Les responsables du stage aux EPI ont aussi relevé une attitude très démonstrative, l'assuré marchant d'un pas sportif à l'extérieur et se traînant lorsqu'il est observé. A cet égard, la Cour a pu constater l'importante divergence entre l'attitude en audience de l'assuré et ses plaintes, que ce soit au niveau de la mobilité des bras qu'à celui des troubles psychiques. En effet, il s'exprime très clairement, avec une étonnante précision quant aux diagnostics et aux dates des diverses interventions, sans aucun signe de tristesse ou de difficulté de concentration, bougeant fréquemment les deux bras pour ponctuer ses dires, sans jamais aller toutefois au-dessus du niveau des</w:t>
      </w:r>
    </w:p>
    <w:p>
      <w:r>
        <w:t>A/1844/2010 - 26/29 - épaules. L'absence d'explication objective à une partie des douleurs de l'assuré avait déjà été relevée lors du séjour à la CRR en 2002 et le caractère démonstratif de l'assuré avait été souligné lors du COPAI de 2005. Ainsi, lorsque le Dr I_________ retient une totale incapacité de travail dans toute activité, il se fonde ainsi principalement sur les plaintes du patient, sans relever le manque de concordance entre celles-ci et les constations objectives du CEMED, qu'il partage pourtant. A titre d'exemple, le Dr V__________ admet que la mobilité de l'épaule gauche est moins gravement atteinte que la droite, les limitations de la première étant fondées seulement sur les douleurs et la gène alléguées. Du point de vue psychique, le psychiatre de CEMED n'est pas convaincu par la réalité des plaintes du patient et retient l'absence de compliance à la médication prescrite, sans la vérifier et sans expliquer quel élément lui permet de la retenir. Ses conclusions concernant l'intensité du trouble de la lignée dépressive (dysthymie ou trouble léger, récurrent, mais en rémission) sont très succinctement motivées et semblent fondées sur les constatations faites lors de l'unique entretien mené et le sentiment d'exagération des plaintes du patient. Le psychiatre en conclut rapidement que l'état dépressif est en rémission. Toutefois, l'avis du psychiatre traitant ne permet pas de remettre en cause les conclusions de l'expert. Il admet que la médication prescrite compense en partie le trouble dépressif sans expliquer dès lors en raison de quelles limitations son patient serait totalement, voire même partiellement incapable de travailler en raison d'une pathologie psychiatrique. Il ne motive pas le diagnostic concernant le trouble de la personnalité, ni les limitations induites par ce trouble. Il réserve une décompensation future, qui est donc sans incidence actuellement. L'avis du Dr I_________, concernant les conséquences du traumatisme crânien, n'est pas confirmé par le psychiatre traitant, qui ne retient aucun trouble cognitif consécutif à l'accident, ni par le neurologue ayant participé à l'expertise du CEMED. Il faut donc admettre avec le CEMED qu'il n'y a pas de pathologie psychiatrique invalidante. Compte tenu de ce qui précède, il n'est pas nécessaire d'ordonner une expertise médicale judiciaire, car l'expertise du CEMED, examinée à la lumière de l'ensemble des rapports médicaux et de l'expertise du Dr I_________ permet d'établir précisément les limitations fonctionnelles objectivées de l'assuré. S'agissant du taux de capacité de travail résiduelle dans une activité adaptée, l'appréciation du CEMED tient compte des douleurs et de la mobilité fortement limitée de l'épaule droite pour admettre que la capacité est limitée à 6h de travail par jour, avec une diminution de rendement de 20% en raison des pauses nécessaires. L'avis divergent du Dr I_________, qui estime que la capacité de travail est nulle, n'est pas motivé et cet expert semble plutôt mettre en doute qu'il existe une activité adaptée aux limitations de l'assuré, ce qui est une autre question. Le Dr V__________ indique sans motivation précise une capacité de travail limitée à 50%.</w:t>
      </w:r>
    </w:p>
    <w:p>
      <w:r>
        <w:t>A/1844/2010 - 27/29 - Il faut ainsi retenir avec les experts du CEMED que l'assuré dispose d'une capacité de travail de 75%, avec une diminution de rendement de 20%. Le SMR confirme dans son dernier avis que cela revient à un taux d'activité de 60%. Reste toutefois à déterminer quelle activité est réellement adaptée aux nombreuses et relativement importantes limitations retenues par les divers médecins, et qui doivent strictement être respectées selon eux. L'OAI prétend ne pas pouvoir préciser cet élément, en raison de l'absence de résultat de la mesure d'observation professionnelle. Ce point de vue est erroné. Certes, l'assuré a eu une attitude incompatible avec une mesure d'orientation professionnelle, l'exagération constatée des douleurs et des limitations ne permet pas de vérifier, concrètement, l'avis des médecins et l'assuré est profondément convaincu d'être totalement incapable de travailler dans toute activité, de sorte qu'il est inutile de tenter une autre mesure de ce type. Toutefois, le service de réadaptation de l'OAI doit pouvoir établir la liste théorique des métiers que l'assuré peut effectuer, sans utiliser le bras droit au-dessus de l'épaule et sans aucune charge, en ménageant le bras gauche, sans s'accroupir, ni s'agenouiller, sans marche en terrain inégal, ni position statique prolongée de plus de 30 minutes, ni port de charges, ni position penchée en avant. Cela exclut ainsi toute une série de métiers non qualifiés, notamment le travail à la chaîne (statique), à l'établi, dans l'horlogerie, la mécanique de précision (penché en avant), dans l'industrie lourde, la fabrication de machines (port de charges), la construction (port de charge ou position accroupie/à genoux), à savoir tous les métiers du secteur de la production qui induisent les revenus les plus élevés du revenu des ESS, TA 1, total. Par contre, les activités dans la vente au détail, la surveillance, etc, restent possible, de sorte qu'il se justifie dans le cas particulier de tenir compte du revenu global ressortant du secteur 3 "services" des ESS, TA1, niveau 4, soit 4'127 fr./mois.</w:t>
      </w:r>
    </w:p>
    <w:p>
      <w:r>
        <w:rPr>
          <w:b/>
        </w:rPr>
        <w:t>E. 9</w:t>
      </w:r>
    </w:p>
    <w:p>
      <w:r>
        <w:t>Le moment déterminant pour le calcul du taux d'invalidité est avril 2000. Selon le rapport du dernier employeur de l'assuré, celui-ci aurait réalisé en 2000 un salaire horaire de 27 fr. 20 pour un horaire habituel de 42 heures 50 dans l'entreprise, avec un 13ème salaire en sus, soit 27 fr. 20 x 42,5 heures x 52 semaines / 12 mois x 13 = 65'121 fr 35/an. Tant le calcul de l'OAI que celui de l'assuré sont faux. Le premier ne tient pas compte de l'horaire de travail dans l'entreprise et indexe à 2000 un salaire qui est déjà celui de cette année-là. Le second se fonde sur un unique salaire mensuel, soit le plus élevé de l'année 1999, qu'il annualise à tort. Le revenu d'invalide, quant à lui, doit se fonder sur les ESS 2000, et plus particulièrement le TA1, secteur 3, niveau 4, homme (49'524 fr.), pour un horaire habituel en 2000 de 41.8 heures (51'752 fr. 58), et à un taux de 75% (38'814 fr.45), soit après la prise en compte d'une diminution de rendement de 20%, un salaire 31'051 fr. 55, ce qui revient au salaire pour un taux d'activité à 60%. L'abattement de 15% retenu par l'OAI ne prête pas flanc à la critique et tient suffisamment compte de l'importance des limitations fonctionnelles et du type de</w:t>
      </w:r>
    </w:p>
    <w:p>
      <w:r>
        <w:t>A/1844/2010 - 28/29 - titre de séjour (permis F), qui, en l'espèce n'a jamais été un élément diminuant l'employabilité, car ni le critère de l'âge (41 ans en 2000), ni celui du nombre d'années passées dans la même profession (6 ans) ne justifient un abattement supplémentaire, étant précisé que l'assuré dispose d'un diplôme universitaire d'économiste, impliquant des aptitudes intellectuelles, en plus des capacités manuelles, ce qui est un atout dans la recherche d'un emploi. Le revenu d'invalide est donc de 26'393 fr.80 Le calcul du taux d'invalidité est donc le suivant: 65'121 fr.35 - 26'393 fr. 80 x 100 ./. 65'121 fr. 35 = 59.47 % Ce taux d'invalidité justifie l'octroi d'une demi-rente d'invalidité selon la LAI en vigueur en 2000. Ainsi, la décision sur opposition de l'OAI du 22 avril 2010 est bien fondée.</w:t>
      </w:r>
    </w:p>
    <w:p>
      <w:r>
        <w:rPr>
          <w:b/>
        </w:rPr>
        <w:t>E. 10</w:t>
      </w:r>
    </w:p>
    <w:p>
      <w:r>
        <w:t>Le recours est donc rejeté. Le recourant sera par ailleurs condamné à un émolument de 200 fr. (art. 69 al. 1 bis LAI).</w:t>
      </w:r>
    </w:p>
    <w:p>
      <w:r>
        <w:t>A/1844/2010 - 29/29 -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