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ATAS/972/2020 vom 8. Oktober 2020</w:t>
      </w:r>
    </w:p>
    <w:p>
      <w:r>
        <w:t>GE Cour de justice, 2020-10-08, FR</w:t>
      </w:r>
    </w:p>
    <w:p>
      <w:r>
        <w:rPr>
          <w:b/>
        </w:rPr>
        <w:t xml:space="preserve">Quelle: </w:t>
      </w:r>
      <w:r>
        <w:t>https://mcp.opencaselaw.ch/entscheid/ge_gerichte_ATAS_972_2020</w:t>
      </w:r>
    </w:p>
    <w:p>
      <w:r>
        <w:t>FR: GE_GERICHTE ATAS/972/2020 du 8 octobre 2020</w:t>
      </w:r>
    </w:p>
    <w:p>
      <w:r>
        <w:t>IT: GE_GERICHTE ATAS/972/2020 del 8 ottobre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prévus par la loi, est recevable.</w:t>
      </w:r>
    </w:p>
    <w:p>
      <w:r>
        <w:rPr>
          <w:b/>
        </w:rPr>
        <w:t>E. 3</w:t>
      </w:r>
    </w:p>
    <w:p>
      <w:r>
        <w:t>Le litige porte sur le bien-fondé de la suspension, pour une durée de 31 jours, du versement de l’indemnité au recourant, auquel l’OCE reproche de n’avoir pas avoir donné suite, dans le délai qui lui avait été imparti pour ce faire, à l’assignation de poste du 31 octobre 2019.</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w:t>
      </w:r>
    </w:p>
    <w:p>
      <w:r>
        <w:t>A/1544/2020 - 6/10 - obligatoires - et des devoirs formels (al. 2) – ayant pour objets l’inscription au chômage et la revendication régulière des prestations au moyen de formules officielles (Boris RUBIN, Commentaire de la loi sur l’assurance-chômage, 2014, n. 1 ad art. 17). b. 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w:t>
      </w:r>
    </w:p>
    <w:p>
      <w:r>
        <w:t>A/1544/2020 - 7/10 -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 d. 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t>A/1544/2020 - 8/10 -</w:t>
      </w:r>
    </w:p>
    <w:p>
      <w:r>
        <w:rPr>
          <w:b/>
        </w:rPr>
        <w:t>E. 5</w:t>
      </w:r>
    </w:p>
    <w:p>
      <w:r>
        <w:t>En l’espèce, le recourant ne conteste pas avoir omis de postuler à l’emploi qui lui avait été assigné. Il explique que cela lui est tout simplement sorti de l’esprit au vu des circonstances. Dès lors, il est établi que le recourant n’a pas satisfait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du recourant en application de l’art. 30 al. 1 let. c et/ou d LACI. Reste à en vérifier la quotité.</w:t>
      </w:r>
    </w:p>
    <w:p>
      <w:r>
        <w:rPr>
          <w:b/>
        </w:rPr>
        <w:t>E. 6</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w:t>
      </w:r>
    </w:p>
    <w:p>
      <w:r>
        <w:t>A/1544/2020 - 9/10 -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w:t>
      </w:r>
    </w:p>
    <w:p>
      <w:r>
        <w:rPr>
          <w:b/>
        </w:rPr>
        <w:t>E. 7</w:t>
      </w:r>
    </w:p>
    <w:p>
      <w:r>
        <w:t>En l’espèce, dans l’appréciation de la gravité de sa faute, il y a lieu de tenir compte de l'ensemble des circonstances et des différents éléments recueillis lors de l'instruction. En l’occurrence, le fait que le recourant ait appris sa future paternité et l’arrivée prochaine de son épouse ne sauraient justifier sa négligence. Il n’en demeure pas moins que sa volonté et sa détermination à retrouver un poste ont été clairement démontrées : en premier lieu par l’obtention d’une prolongation de son contrat en cours, puis par l’obtention rapide, après un peu plus d’un mois de chômage seulement, d’un nouveau contrat et, enfin, par celle d’un contrat de durée indéterminée.</w:t>
      </w:r>
    </w:p>
    <w:p>
      <w:r>
        <w:t>Certes, comme cela a déjà été dit, le recourant a violé ses obligations par négligence, de sorte qu'une faute peut lui être reprochée. Il apparaît cependant qu’il a fait preuve de ressources pour sortir au plus vite du chômage par ses propres moyens et réduit ainsi le dommage causé à cette assurance. Dans ces conditions, la Cour de céans considère que la gravité de la faute commise est atténuée et peut être qualifiée de moyenne et la quotité de la suspension ramenée à 16 jours. Le recours est partiellement admis en ce sens et la décision réformée dans le sens précité. La procédure est gratuite (art. 61 let. a LPGA).</w:t>
      </w:r>
    </w:p>
    <w:p>
      <w:r>
        <w:t>A/1544/2020 - 10/10 -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