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ATAS/972/2016 vom 22. Februar 2006</w:t>
      </w:r>
    </w:p>
    <w:p>
      <w:r>
        <w:t>GE Cour de justice, 2006-02-22, FR</w:t>
      </w:r>
    </w:p>
    <w:p>
      <w:r>
        <w:rPr>
          <w:b/>
        </w:rPr>
        <w:t xml:space="preserve">Quelle: </w:t>
      </w:r>
      <w:r>
        <w:t>https://mcp.opencaselaw.ch/entscheid/ge_gerichte_ATAS_972_2016</w:t>
      </w:r>
    </w:p>
    <w:p>
      <w:r>
        <w:t>FR: GE_GERICHTE ATAS/972/2016 du 22 février 2006</w:t>
      </w:r>
    </w:p>
    <w:p>
      <w:r>
        <w:t>IT: GE_GERICHTE ATAS/972/2016 del 22 febbraio 2006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w:t>
      </w:r>
    </w:p>
    <w:p>
      <w:r>
        <w:t>A/3877/2016 - 6/9 - Le recours a été interjeté en temps utile (art. 60 LPGA), dans le respect des formes et avec le contenu prescrits par la loi (art. 61 let. b LPGA), par une personne ayant qualité pour recourir (art. 59 LPGA). c. Il est donc recevable, a fortiori prima facie. d. Il y a lieu de statuer sur la demande d’octroi de l’effet suspensif assortissant le recours.</w:t>
      </w:r>
    </w:p>
    <w:p>
      <w:r>
        <w:rPr>
          <w:b/>
        </w:rPr>
        <w:t>E. 2</w:t>
      </w:r>
    </w:p>
    <w:p>
      <w:r>
        <w:t>a. Selon l'art. 54 al. 1 let. c LPGA, les décisions et les décisions sur opposition sont exécutoires lorsque l'effet suspensif attribué à une opposition ou à un recours a été retiré. La LPGA ne contient pas d’autre disposition en matière d'effet suspensif. Elle prévoit cependant,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Il s’ensuit que si, à teneur de l’art. 55 al. 2 phr. 1 PA, l’autorité inférieure peut prévoir, dans sa décision, qu’un recours éventuel n’aura pas d’effet suspensif, sauf si la décision porte sur une prestation pécuniaire, cette exclusion-ci de la possibilité d’un retrait d’effet suspensif ne s’applique pas en matière d’AI. Autrement dit, un retrait de l’effet suspensif est possible en matière d’AI même pour des décisions portant sur une prestation pécuniaire. Selon l’art. 55 al. 3 PA – même si l’art. 1 al. 3 PA ne renvoie pas explicitement à cette disposition –, l’autorité de recours ou son président peut restituer l'effet suspensif à un recours auquel l'autorité inférieure l'avait retiré ; la demande de restitution de l'effet suspensif est traitée sans délai (Ueli KIESER, ATSG Kommentar, 3ème éd., n. 34 à 37 ad art. 61 ; Michel VALTERIO, Droit de l’assurance-vieillesse et survivants et de l’assurance- invalidité. Commentaire thématique, 2011, p. 741 s, n. 2739 ss). Dans le canton de Genève, pour une juridiction administrative, les décisions sur mesures provisionnelles, y compris sur effet suspensif, sont ordonnées par le président (art. 21 al. 2 et 89A LPA). b.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w:t>
      </w:r>
    </w:p>
    <w:p>
      <w:r>
        <w:t>A/3877/2016 - 7/9 - motifs qui parlent en faveur de l'exécution immédiate de la décision l'emportent sur ceux qui peuvent être invoqués à l'appui de la solution contraire. L'autorité dispose sur ce point d'une certaine liberté d'appréciation. En général, elle se fonde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3</w:t>
      </w:r>
    </w:p>
    <w:p>
      <w:r>
        <w:t>En l’espèce, la recourante s’est contentée de conclure préalablement à l’octroi de l’effet suspensif à son recours, sans du tout motiver sa requête. L’intimé a quant à lui motiver sa conclusion tendant au rejet de cette demande. Il appert que les conditions d’octroi (ou de restitution) de l’effet suspensif ne sont pas remplies, la pesée des intérêts devant être faite devant conduire en l’occurrence à faire prévaloir l’intérêt de l’intimé à prévenir le versement de prestations pécuniaires auxquelles la recourante n’a selon lui plus droit. La néphrologue traitante de la recourante, en plus des médecins du SMR (qui s’appuient d’ailleurs sur l’avis dudit médecin traitant), admet, sans que des avis médicaux contraires ne figurent au dossier, que la recourante a une capacité de travail de 50 % dans une activité adaptée. La recourante elle-même déclare non</w:t>
      </w:r>
    </w:p>
    <w:p>
      <w:r>
        <w:t>A/3877/2016 - 8/9 - seulement souhaiter se remettre à exercer une activité lucrative, mais encore s’en sentir capable. Sa contestation ne porte guère que sur le statut mixte qui lui est reconnu (plutôt qu’un statut de personne active), à raison au demeurant de 82 % pour la sphère professionnelle et de 18 % pour la sphère ménagère, et sur son droit à des mesures professionnelles. Or, sans préjuger de l’issue à donner au recours, force est de retenir en l’état que la recourante n’apparaît pas avoir démontré qu’elle a réellement et concrètement eu l’intention de trouver un emploi à plein temps, notamment depuis qu’elle sait qu’une capacité de travail résiduelle de 50 % lui est reconnue dans une activité adaptée. Il n’apparaît par ailleurs pas évident, compte tenu des tâches physiques ou manuelles simples lui étant accessibles, que des mesures professionnelles seraient nécessaires pour lui permettre de trouver un tel emploi au sens des dispositions y relatives de la LAI, soit en considération d’un marché du travail équilibré offrant a priori une palette d’activités du type considéré ne requérant pas de formation spécifique. Il est en revanche vraisemblable que l’intimé serait confronté à des difficultés sérieuses d’obtenir de la recourante la restitution de la rente d’invalidité qui continuerait à lui être versée durant la procédure contentieuse au bénéfice d’un effet suspensif octroyé ou restitué. Dans ces conditions, il y a lieu de refuser l’octroi (ou la restitution) de l’effet suspensif au recours.</w:t>
      </w:r>
    </w:p>
    <w:p>
      <w:r>
        <w:rPr>
          <w:b/>
        </w:rPr>
        <w:t>E. 4</w:t>
      </w:r>
    </w:p>
    <w:p>
      <w:r>
        <w:t>Il sera statué sur les frais en même temps que sur le recours.</w:t>
      </w:r>
    </w:p>
    <w:p>
      <w:r>
        <w:t>* * * * * *</w:t>
      </w:r>
    </w:p>
    <w:p>
      <w:r>
        <w:t>A/3877/2016 - 9/9 -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