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ATAS/972/2015 vom 10. Dezember 2015</w:t>
      </w:r>
    </w:p>
    <w:p>
      <w:r>
        <w:t>GE Cour de justice, 2015-12-10, FR</w:t>
      </w:r>
    </w:p>
    <w:p>
      <w:r>
        <w:rPr>
          <w:b/>
        </w:rPr>
        <w:t xml:space="preserve">Quelle: </w:t>
      </w:r>
      <w:r>
        <w:t>https://mcp.opencaselaw.ch/entscheid/ge_gerichte_ATAS_972_2015</w:t>
      </w:r>
    </w:p>
    <w:p>
      <w:r>
        <w:t>FR: GE_GERICHTE ATAS/972/2015 du 10 décembre 2015</w:t>
      </w:r>
    </w:p>
    <w:p>
      <w:r>
        <w:t>IT: GE_GERICHTE ATAS/972/2015 del 10 dicembre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règles applicables sont celles en vigueur au moment où les faits juridiquement déterminants se sont produits (ATF 130 V 445), étant précisé que le juge n'a pas à prendre en considération les modifications du droit ou de l'état de fait postérieures à la date déterminante de la décision litigieuse (ATF 129 V 1 consid. 1.2).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w:t>
      </w:r>
    </w:p>
    <w:p>
      <w:r>
        <w:t>A/3785/2013 - 8/13 - Par ailleurs, la loi fédérale du 16 décembre 2005 modifiant la LAI entrée en vigueur le 1er juillet 2006 (RO 2006 2003) a apporté des modifications, notamment en matière de procédure (art. 52, 58 et 61 let. a LPGA).</w:t>
      </w:r>
    </w:p>
    <w:p>
      <w:r>
        <w:rPr>
          <w:b/>
        </w:rPr>
        <w:t>E. 3</w:t>
      </w:r>
    </w:p>
    <w:p>
      <w:r>
        <w:t>Interjeté dans les forme et délai légaux (art. 56 à 60 LPGA), le recours est recevable.</w:t>
      </w:r>
    </w:p>
    <w:p>
      <w:r>
        <w:rPr>
          <w:b/>
        </w:rPr>
        <w:t>E. 4</w:t>
      </w:r>
    </w:p>
    <w:p>
      <w:r>
        <w:t>Est litigieuse en l’espèce la question de savoir si les atteintes à la santé du recourant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w:t>
      </w:r>
    </w:p>
    <w:p>
      <w:r>
        <w:t>A/3785/2013 - 9/13 -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w:t>
      </w:r>
    </w:p>
    <w:p>
      <w:r>
        <w:t>A/3785/2013 - 10/13 -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En l’espèce, la situation médicale apparait suffisamment investiguée : l’atteinte à la santé et les diagnostics ne sont pas contestés, pas plus que les répercussions en termes de capacité de travail et de limitations fonctionnelles. Tous les médecins qui ont examiné le recourant sont unanimes quant à l’impossibilité de reprendre l’activité habituelle de carreleur, ce que l’intimé ne conteste pas non plus. De la même manière, tous les médecins sont unanimes à préconiser une reconversion dans une activité adaptée. Celle-ci a été décrite tant par le Dr M_______ (pas de travaux lourds, ni de position accroupie) que par la SUVA (pas de travaux lourds, pas de trajet sur terrain irrégulier, pas d’accroupissements et alternance des positions). Il apparaît ainsi que c’est à juste titre que l’intimé a retenu comme exigible une activité simple et répétitive, ce que ne conteste d’ailleurs par réellement le recourant, lequel souhaite avant qu’on l’aide à se réinsérer. La Cour ne saurait en revanche adhérer à la date à compter de laquelle l’intimé considère que l’exercice à plein temps d’une activité adaptée est exigible. Le SMR la fixe au 1er mai 2011, soit trois mois après la première intervention. Or celle-ci a eu lieu fin février 2011, de sorte que c’est au plus tôt fin mai 2011 - aux dires du médecin du SMR lui-même - que le recourant a pu recouvrer une capacité de travail dans une activité adaptée. Dès lors, le droit à une rente entière doit être prolongé au 31 août 2011. Sur ce point, le recours est partiellement admis.</w:t>
      </w:r>
    </w:p>
    <w:p>
      <w:r>
        <w:t>A/3785/2013 - 11/13 - Pour le reste, il est rejeté puisqu’il apparaît justifié de considérer, au vu des pièces médicales, que l’assuré est apte à exercer à plein temps une activité adaptée telle que décrite. Le calcul du degré d’invalidité n’apparaît pas critiquable et n’est d’ailleurs pas contesté en tant que tel.</w:t>
      </w:r>
    </w:p>
    <w:p>
      <w:r>
        <w:rPr>
          <w:b/>
        </w:rPr>
        <w:t>E. 10</w:t>
      </w:r>
    </w:p>
    <w:p>
      <w:r>
        <w:t>En ce qui concerne la conclusion tendant à l'octroi de mesures d'ordre professionnel, notamment d'un reclassement, il convient également de rejeter le recours pour les motifs exposés ci-après. 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environ (ATF 124 V 110 consid. 2b et les références). b) En l'espèce, force est de constater que le recourant n’atteint pas le seuil minimal d’invalidité requis pour pouvoir bénéficier d'un reclassement, que ce soit du point de vue de l’assurance-invalidité ou de celui - plus favorable - de l’assurance- accidents. c) Quant à l'aide au placement, ses conditions d'octroi ne sont pas non plus réunies. Aux termes de l'art. 18 al. 1 LAI (nouvelle teneur selon la novelle du 6 octobre 2006 [5e révision de l'AI], en vigueur depuis le 1er janvier 2008), l'assuré présentant une incapacité de travail et susceptible d'être réadapté a droit: a) à un soutien actif dans la recherche d'un emploi approprié; b) à un conseil suivi afin de conserver un emploi. Du message du Conseil fédéral du 22 juin 2005 concernant la modification de la loi fédérale sur l'assurance-invalidité (5e révision de l'AI), il ressort (FF 2005 4319) que l'art. 18 al. 1 LAI nouvelle teneur formule les conditions d'octroi de manière plus large qu'auparavant, de façon que toute personne en incapacité de travail, mais apte à la réadaptation, puisse profiter du placement (ATF non publié 9C_859/2010 du 9 août 2011, consid. 2.1).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w:t>
      </w:r>
    </w:p>
    <w:p>
      <w:r>
        <w:t>A/3785/2013 - 12/13 -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(ATF non publié 9C_859/2010 du 9 août 2011, consid. 2.2). Lorsque la capacité de travail est limitée uniquement du fait que seules des activités légères peuvent être exigées de l'assuré, il faut qu'il soit entravé de manière spécifique par l'atteinte à la santé dans la faculté de rechercher un emploi (ATFA non publié I 421/01 du 15 juillet 2002 consid. 2c, in VSI 2003 p. 274), principe dont la jurisprudence a admis qu'il demeurait valable également après l'entrée en vigueur de la 4è et de la 5è révision de l'AI (ATFA non publié I 427/05 du 24 mars 2006, in SVR 2006 IV Nr. 45 p. 162 ; ATF non publié 9C_416/2009 du 1er mars 2010 consid. 5.2).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SILVIA BUCHER (Eingliederungsrecht der Invalidenversicherung, 2011, n° 837 p. 421) est d'avis qu'il suffit que l'assuré présente une incapacité de travail dans sa profession ou son domaine d'activité (art. 6 première phrase LPGA) pour qu'il soit considéré comme présentant une incapacité de travail selon l'art. 18 al. 1 LAI. Toutefois, l'art. 18 al. 1 LAI parle de l'incapacité de travail de l'"art. 6 LPGA". Même si le Conseil fédéral, dans le message du 22 juin 2005 mentionné ci-dessus, a indiqué que tous les chômeurs ne pouvant plus exercer leur activité antérieure pour raisons de santé auraient ainsi droit à un placement par l'AI, cela ne signifie pas que seul l'art. 6 première phrase LPGA entre en considération dans le cadre de l'art. 18 al. 1 LAI. Au contraire, l'art. 6 seconde phrase LPGA entre également en considération en cas d'incapacité de travail de longue durée. En l'espèce, le recourant présente dans son activité antérieure de carreleur une incapacité de travail de longue durée en raison de son inaptitude à tous les travaux impliquant le port de charges et la position agenouillée. En revanche, il conserve une capacité de travail totale dans une activité adaptée, qui peut relever d'une autre profession ou d'un autre domaine d'activité. Au regard de l'art. 6 seconde phrase LPGA, le recourant ne présente donc pas d'incapacité de travail. Il s'ensuit que le droit à une aide au placement selon l'art. 18 al. 1 LAI n'entre pas en considération. Par conséquent, c'est également à bon droit que l'intimé a refusé l'octroi d'une mesure d'aide au placement au recourant.</w:t>
      </w:r>
    </w:p>
    <w:p>
      <w:r>
        <w:t>A/3785/2013 - 13/13 -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