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ATAS/972/2012 vom 17. August 2012</w:t>
      </w:r>
    </w:p>
    <w:p>
      <w:r>
        <w:t>GE Cour de justice, 2012-08-17, FR</w:t>
      </w:r>
    </w:p>
    <w:p>
      <w:r>
        <w:rPr>
          <w:b/>
        </w:rPr>
        <w:t xml:space="preserve">Quelle: </w:t>
      </w:r>
      <w:r>
        <w:t>https://mcp.opencaselaw.ch/entscheid/ge_gerichte_ATAS_972_2012</w:t>
      </w:r>
    </w:p>
    <w:p>
      <w:r>
        <w:t>FR: GE_GERICHTE ATAS/972/2012 du 17 août 2012</w:t>
      </w:r>
    </w:p>
    <w:p>
      <w:r>
        <w:t>IT: GE_GERICHTE ATAS/972/2012 del 17 agosto 2012</w:t>
      </w:r>
    </w:p>
    <w:p>
      <w:pPr>
        <w:pStyle w:val="Heading2"/>
      </w:pPr>
      <w:r>
        <w:t>Erwägungen</w:t>
      </w:r>
    </w:p>
    <w:p>
      <w:r>
        <w:rPr>
          <w:b/>
        </w:rPr>
        <w:t>E. 1</w:t>
      </w:r>
    </w:p>
    <w:p>
      <w:r>
        <w:t>Conformément à l'art. 134 al. 1 let. a ch. 3 de la loi sur l'organisation judiciaire, du 26 septembre 2010 (LOJ; RS E 2 05),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La Cour est ainsi compétence à raison de la matière. Formé dans les formes et délai prescrits, le recours est recevable (art. 60 et 61 let. b LPGA).</w:t>
      </w:r>
    </w:p>
    <w:p>
      <w:r>
        <w:rPr>
          <w:b/>
        </w:rPr>
        <w:t>E. 2</w:t>
      </w:r>
    </w:p>
    <w:p>
      <w:r>
        <w:t>Le litige porte sur la prise en compte d'un montant de 181'944 fr. dans la fortune de la recourante au titre de la valeur du bien dessaisi à la suite de la radiation du droit d'usufruit et de la cession des biens mobiliers et du droit d'usufruit de 20'250 fr. a. Aux termes de l’art. 2 LPC, la Confédération et les cantons accordent aux personnes qui remplissent les conditions fixées aux art. 4 à 6 des prestations complémentaires destinées à la couverture des besoins vitaux (al. 1er . Les cantons peuvent allouer des prestations allant au-delà de celles qui sont prévues par la présente loi et fixer les conditions d’octroi de ces prestations (al. 2). L’art. 9 al. 1er LPC dispose que le montant de la prestation complémentaire annuelle correspond à la part des dépenses reconnues qui excède les revenus déterminants. Aux termes de l’art. 11 al. 1er LPC, les revenus déterminants comprennent le produit de la fortune mobilière et immobilière (let. b), un quinzième de la fortune nette, un dixième pour les bénéficiaires de rentes de vieillesse, dans la mesure où elle dépasse 37'500 fr pour les personnes seules, les rentes, pensions et autres</w:t>
      </w:r>
    </w:p>
    <w:p>
      <w:r>
        <w:t>A/1246/2012 - 4/7 - prestations périodiques, y compris les rentes de l’AVS et de l’AI (let. d), les ressources et parts de fortune dont un ayant droit s’est dessaisi (let. g), notamment. L’art. 11 al. 2 LPC prévoit que, pour les personnes vivant dans un home ou dans un hôpital, les cantons peuvent fixer le montant de la fortune qui sera pris en compte en dérogeant à l’al. 1er let. c. Les cantons sont autorisés à augmenter, jusqu’à concurrence d’un cinquième, ce montant. Le canton de Genève a fait usage de cette possibilité, fixant la prise en compte de la fortune, pour les bénéficiaires de rente de vieillesse, à un cinquième (art. 5 let. c LPCC). b. Par dessaisissement, il faut entendre la renonciation par le bénéficiaire à une part de fortune sans obligation légale et sans contre-prestation adéquate, lorsqu'il a droit à certains éléments de revenu ou de fortune mais n'en fait pas usage ou s'abstient de faire valoir ses prétentions (ATF 123 V 35 consid. 1). Dans ce cas, le revenu déterminant est augmenté aussi bien d'une fraction de la valeur du bien cédé que de celle du produit que ce bien aurait procuré à l'ayant droit (cf. ATF 123 V 37 consid. 1 et 2). En cas de renonciation à un usufruit, le revenu hypothétique de ce droit doit être considéré comme un dessaisissement de revenu et non comme un dessaisissement de fortune, ce qui exclut la possibilité d'amortissement au sens de l'art. 17a OPC- AVS/AI. Le calcul du dessaisissement ne se fonde pas sur la valeur locative mais correspond aux intérêts de la valeur vénale (ATF 8C_68/2008 du 27 janvier 2009, consid. 4.2.3). Le montant de la valeur vénale sur lequel porte l'usufruit est réputé pouvoir être immobilisé pour une certaine durée, l'ayant droit n'étant pas censé l'entamer régulièrement pour subvenir à ses besoins courants. Le revenu fictif imputé au bénéficiaire est calculé en s'appuyant sur le taux d'intérêts moyen pour les obligations et bons de caisse en Suisse au cours de l'année précédant celle de l'octroi de la prestation complémentaire (ibidem; ATF 122 V 394 consid. 6). Pour vérifier s'il y a contre-prestation équivalente et pour fixer la valeur d'un éventuel dessaisissement, il faut comparer la prestation et la contre-prestation à leurs valeurs respectives au moment de ce dessaisissement (ATF 120 V 182 consid. 4b). c. La réserve du conjoint survivant est de la moitié (art. 471 ch. 3 CC). Le conjoint survivant, soumis, comme en l'espèce, à la participation aux acquêts, se trouve ainsi avec une part de ¾ sur la succession. L’un des conjoints peut, par disposition pour cause de mort, laisser au survivant l’usufruit de toute la part dévolue à leurs enfants communs (art. 473 CC). L'art. 765 CC prévoit que l'usufruitier supporte les frais ordinaires d’entretien et les dépenses d’exploitation de la chose, ainsi que les intérêts des dettes dont elle est grevée, et il est tenu d’acquitter les impôts et autres redevances; le tout en proportion de la durée de son droit.</w:t>
      </w:r>
    </w:p>
    <w:p>
      <w:r>
        <w:t>A/1246/2012 - 5/7 -</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Florence KRAUSKOPF</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