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ATAS/971/2023 vom 11. Dezember 2023</w:t>
      </w:r>
    </w:p>
    <w:p>
      <w:r>
        <w:t>GE Cour de justice, 2023-12-11, FR</w:t>
      </w:r>
    </w:p>
    <w:p>
      <w:r>
        <w:rPr>
          <w:b/>
        </w:rPr>
        <w:t xml:space="preserve">Quelle: </w:t>
      </w:r>
      <w:r>
        <w:t>https://mcp.opencaselaw.ch/entscheid/ge_gerichte_ATAS_971_2023</w:t>
      </w:r>
    </w:p>
    <w:p>
      <w:r>
        <w:t>FR: GE_GERICHTE ATAS/971/2023 du 11 décembre 2023</w:t>
      </w:r>
    </w:p>
    <w:p>
      <w:r>
        <w:t>IT: GE_GERICHTE ATAS/971/2023 del 11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30 jours prévus par la loi, l’acte de recours est recevable (art. 56 ss LPGA et 62 ss de la loi sur la procédure administrative du 12 septembre 1985 [LPA - E 5 10]).</w:t>
      </w:r>
    </w:p>
    <w:p>
      <w:r>
        <w:rPr>
          <w:b/>
        </w:rPr>
        <w:t>E. 3</w:t>
      </w:r>
    </w:p>
    <w:p>
      <w:r>
        <w:t>Le litige porte sur le bien-fondé de la suspension du droit du recourant à l'indemnité de chômage, durant 34 jours, en raison du fait qu’il n’a pas postulé à un emploi assigné au mois de novembre 2022.</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w:t>
      </w:r>
    </w:p>
    <w:p>
      <w:r>
        <w:t>A/861/2023 - 6/15 -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4.2</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w:t>
      </w:r>
    </w:p>
    <w:p>
      <w:r>
        <w:t>A/861/2023 - 7/15 -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 9 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4.4</w:t>
      </w:r>
    </w:p>
    <w:p>
      <w:r>
        <w:t>Tant qu’un assuré n’est pas certain d’obtenir un autre emploi, il a l’obligation d’accepter immédiatement l’emploi qui se présente (ATF 122 V 34 ; Boris RUBIN, Commentaire, n. 64 ad art. 30 LACI). Les éléments constitutifs d'un refus d'emploi sont réunis non seulement en cas de refus d'emploi expressément formulé, mais encore lorsqu'un assuré : ne se donne pas la peine d'entrer en pourparlers avec l'employeur ; ne le fait pas dans le délai utile (arrêts du Tribunal fédéral 8C_379/2009 du 13 octobre 2009, C 245/06 du 2 novembre 2007 et C 30/06 du 8 janvier 2007) ; pose certaines restrictions lors de la fixation du rendez-vous d'embauche (arrêt du Tribunal fédéral C 125/06 du 9 mars 2007) ; hésite à accepter immédiatement l'emploi lors des pourparlers, alors que selon les circonstances, il aurait pu faire cette déclaration (ATF 122 V 34 consid. 3b ; DTA 2002 p. 58 ; 1999 p. 193 consid. 2 ; 1984 p. 167 ; 1982 p. 41 ; arrêts du Tribunal fédéral 8C_38/2011 du 14 décembre 2011, 8C_616/2010 du 28 mars 2011, C 17/07 du 22 février 2007, C 81/05 du 29 novembre 2005, C 214/02 du 23 avril 2003 et C 81/02 du 24 mars 2003) ou fait échouer la conclusion du contrat pour d'autres raisons (DTA 2012 p. 300 ; Boris RUBIN, Commentaire, n. 66 ad art. 30 LACI). Le refus d'un emploi ne présuppose pas un refus explicite d'accepter l'emploi. Des manifestations peu claires, un manque d'empressement faisant douter de la réelle volonté du chômeur d'être engagé (arrêt du Tribunal fédéral C 293/03 du 5 novembre 2004), voire un désintérêt manifeste (arrêts du Tribunal fédéral C 81/02 du 24 mars 2003 et C 72/02 du 3 septembre 2002), constituent déjà des comportements assimilés, selon la jurisprudence, à un refus d'emploi. Plus le nombre d'activités entrant en considération est restreint, plus l'assuré doit manifester une attitude franchement positive à l'endroit du poste à repourvoir (arrêt du Tribunal fédéral 8C_616/2010 du 28 mars 2011 consid. 6 ; Boris RUBIN, Commentaire, n. 66 ad art. 30 LACI). En résumé, selon la jurisprudence, il y a refus d'une occasion de prendre un travail convenable non seulement lorsque l'assuré refuse expressément un travail convenable qui lui est assigné, mais également déjà lorsque l'intéressé</w:t>
      </w:r>
    </w:p>
    <w:p>
      <w:r>
        <w:t>A/861/2023 - 8/15 - s'accommode du risque que l'emploi soit occupé par quelqu'un d'autre ou fait échouer la perspective de conclure un contrat de travail (ATF 122 V 34 consid. 3b ; arrêts du Tribunal fédéral 8C_446/2020 du 28 janvier 2021 consid. 3.1 et 8C_379/2009 précité consid. 3).</w:t>
      </w:r>
    </w:p>
    <w:p>
      <w:r>
        <w:rPr>
          <w:b/>
        </w:rPr>
        <w:t>E. 4.5</w:t>
      </w:r>
    </w:p>
    <w:p>
      <w:r>
        <w:t>Est assimilé au cas de refus d’un travail convenable le fait de ne pas donner suite à une assignation à un travail réputé convenable (arrêt du Tribunal fédéral 8C_446/2020 précité consid. 3.1 ; ATAS/136/2021 du 22 février 2021 consid. 4b).</w:t>
      </w:r>
    </w:p>
    <w:p>
      <w:r>
        <w:rPr>
          <w:b/>
        </w:rPr>
        <w:t>E. 4.6</w:t>
      </w:r>
    </w:p>
    <w:p>
      <w:r>
        <w:t>Aux termes de l'art. 16 al. 2 LACI n'est pas réputé convenable et, par conséquent, est exclu de l’obligation d’être accepté, tout travail qui : - n’est pas conforme aux usages professionnels et locaux et, en particulier, ne satisfait pas aux conditions des conventions collectives ou des contrats-type de travail (let. a), - ne tient pas raisonnablement compte des aptitudes de l’assuré ou de l’activité qu’il a précédemment exercée (let. b), - ne convient pas à l’âge, à la situation personnelle ou à l’état de santé de l’assuré (let. c), - compromet, dans une notable mesure, le retour de l’assuré dans sa profession, pour autant qu’une telle perspective existe dans un délai raisonnable (let. d), - doit être accompli dans une entreprise où le cours ordinaire du travail est perturbé en raison d’un conflit collectif de travail (let. e),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exige du travailleur une disponibilité sur appel constante dépassant le cadre de l’occupation garantie (let. g), - doit être exécuté dans une entreprise qui a procédé à des licenciements aux fins de réengagement ou à de nouveaux engagements à des conditions nettement plus précaires (let. h), - ou procure à l’assuré une rémunération qui est inférieure à 70% du gain assuré, sauf si l’assuré touche des indemnités compensatoires conformément à l’art. 24 (gain intermédiaire, let. i). En conséquence, un travail est réputé convenable si toutes les conditions énoncées à l'art. 16 al. 2 LACI sont exclues cumulativement (ATF 124 V 62 consid. 3b ; cf. également arrêt du Tribunal fédéral des assurances C 239/00 du 18 octobre 2000 consid. 1a).</w:t>
      </w:r>
    </w:p>
    <w:p>
      <w:r>
        <w:t>A/861/2023 - 9/15 -</w:t>
      </w:r>
    </w:p>
    <w:p>
      <w:r>
        <w:rPr>
          <w:b/>
        </w:rPr>
        <w:t>E. 4.7</w:t>
      </w:r>
    </w:p>
    <w:p>
      <w:r>
        <w:t>S'agissant en particulier de l'art. 16 al. 2 let. c LACI, n'est pas réputé convenable un travail qui ne convient pas à l’âge, à la situation personnelle ou à l’état de santé de l’assuré. La notion de situation personnelle englobe l’état civil, les devoirs d’assistance envers des proches, les conditions de logement, les restrictions confessionnelles, etc. (cf. Secrétariat d'Etat à l'économie [SECO]- Bulletin LACI IC / B 287ss). La situation personnelle comprend l'organisation de la vie, les conditions de vie, la situation familiale, certains choix de vie tels que la volonté d'allaiter un enfant, ainsi que divers aspects liés aux droits fondamentaux, comme par exemple la liberté religieuse. Quant aux motifs de pure convenance personnelle, ils ne sont pas pris en considération (Boris RUBIN, op. cit., n. 31 ad art. 16 LACI). Les critères de l'âge, de la situation personnelle et de l'état de santé dépendent de la situation de chaque assuré. La notion d'emploi convenable est donc relative. Les critères précités permettent à un assuré de refuser un emploi qui, par ailleurs, remplirait les autres critères d'admissibilité. Si l'assuré fait valoir des motifs supplémentaires de restriction à la disponibilité (horaire de disponibilité, préférence pour un poste bien précis, etc.), son aptitude au placement pourrait devoir être niée dans le cadre d'une appréciation globale de celle-ci (Boris RUBIN, op. cit., n. 31 ad art. 16 LACI). Un assuré qui entend se prévaloir d'un motif de santé pour quitter ou refuser un poste de travail doit en principe fournir un certificat médical circonstancié, reposant sur une analyse clinique et technique (Boris RUBIN, op. cit., n. 37 ad art. 16 LACI).</w:t>
      </w:r>
    </w:p>
    <w:p>
      <w:r>
        <w:rPr>
          <w:b/>
        </w:rPr>
        <w:t>E. 4.8</w:t>
      </w:r>
    </w:p>
    <w:p>
      <w:r>
        <w:t>La durée de la suspension est proportionnelle à la gravité de la faute et ne peut excéder, par motif de suspension, 60 jours, et dans le cas de l’al. 1 let. g, 25 jours (art. 30 al. 3 LACI ; arrêt du Tribunal fédéral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quinze jours en cas de faute légère, de seize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w:t>
      </w:r>
    </w:p>
    <w:p>
      <w:r>
        <w:t>A/861/2023 - 10/15 - ou légère. Il peut s'agir, dans le cas concret, d'un motif lié à la situation subjective de la personne concernée ou à des circonstances objectives (ATF 130 V 125 ; arrêt du Tribunal fédéral 8C_225/2011 du 9 mars 2012 consid. 4.2). L’obligation d’accepter un emploi convenable assigné par l’office compétent constitue une obligation fondamentale pour qui demande l’indemnité de chômage (art. 17 al. 3 1ère phr. LACI). Son inobservation est considérée comme une faute grave à moins que l’assuré puisse se prévaloir de circonstances laissant apparaître la faute comme étant de gravité moyenne ou légère (art. 30 al. 1 let. d, 1ère partie de phr., LACI en lien avec l’art. 45 al. 3 OACI ; ATF 130 V 125 ; arrêts du Tribunal fédéral 8C_616/2010 du 28 mars 2011 consid. 3.2 et 8C_379/2009 précité consid. 3).</w:t>
      </w:r>
    </w:p>
    <w:p>
      <w:r>
        <w:rPr>
          <w:b/>
        </w:rPr>
        <w:t>E. 4.9</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w:t>
      </w:r>
    </w:p>
    <w:p>
      <w:r>
        <w:rPr>
          <w:b/>
        </w:rPr>
        <w:t>E. 4.10</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w:t>
      </w:r>
    </w:p>
    <w:p>
      <w:r>
        <w:t>A/861/2023 - 11/15 -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w:t>
      </w:r>
    </w:p>
    <w:p>
      <w:r>
        <w:rPr>
          <w:b/>
        </w:rPr>
        <w:t>E. 6.1</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7</w:t>
      </w:r>
    </w:p>
    <w:p>
      <w:r>
        <w:t>En l’espèce, l’intimé a suspendu le droit à l’indemnité de chômage du recourant pour une durée de 34 jours, au motif qu’il n’avait pas donné suite à l’assignation du 24 novembre 2022 pour un emploi de conseiller service après-vente carrosserie, puisqu’il n’avait pas envoyé son dossier complet et avait fait échouer</w:t>
      </w:r>
    </w:p>
    <w:p>
      <w:r>
        <w:t>A/861/2023 - 12/15 - ainsi une possibilité d’emploi qui lui aurait permis de quitter l’assurance- chômage. Le recourant, pour sa part, soutient que le poste qui lui était assigné ne correspondait pas à son profil, en particulier en raison de ses limitations physiques, et que les documents manquant à sa candidature n’étaient soit pas pertinents et non reconnus en Suisse, s’agissant de ses diplômes, soit inexistants, s’agissant de certificats de travail. Selon le descriptif du poste assigné, sa mission aurait été le suivi du dossier, la coordination des rendez-vous à la remise des véhicules, la collaboration avec l’équipe de vente, l’établissement des offres, le contrôle de l’état de propreté du véhicule et son « exhaustivité », de même qu’être l’interface entre l’atelier et le client, d’assurer le traitement professionnel des ordres d’atelier, de garantir une ambiance conviviale et convaincre le client. En dehors de la tâche « traitement professionnel des ordres d’atelier », l’ensemble des tâches qu’il aurait eu à accomplir correspond à son profil et n’apparait manifestement pas incompatible avec les limitations physiques qu’il dit être les siennes. S’agissant de la tâche « traitement professionnel des ordres d’atelier », la question pourrait se poser. Néanmoins, force est de constater que l’attestation médicale que le recourant produit, selon laquelle il avait gardé comme séquelle d’une ostéochondrite du coude gauche une raideur du coude entrainant une gêne importante pour des performances physiques, date de près de 25 ans et ne permet aucunement de déterminer s’il existe à ce jour encore une limitation physique, ni non plus si elle serait incompatible avec les exigences du poste, puisqu’elle n’est pas circonstanciée au poste assigné. Au vu de ce qui précède, le poste litigieux ne saurait être qualifié de non convenable. On pouvait donc exiger de l’intéressé qu’il postule comme il avait été invité à le faire. S’agissant de la question des documents à fournir avec la postulation, il sied de relever qu’il appartenait au recourant d’obtenir de la part de son dernier employeur un certificat de travail, si celui-ci ne le lui avait pas fourni en même temps que la résiliation du contrat, ce qui parait douteux à la lecture de sa lettre de licenciement, qui indique précisément une telle annexe. Le recourant avait par ailleurs occupé d’autres postes par le passé, pour lesquels il n’agissait pas en tant qu’indépendant et devait disposer de certificats de travail. Quant à ses diplômes, qui attestent de sa scolarité et de son niveau de formation professionnelle, il s’agit de documents usuels à transmettre avec une postulation et l’on ne comprend guère les motifs qui auraient amené le recourant à les exclure, quand bien même ils ne lui semblaient pas pertinents pour le poste. En ne joignant pas un dossier complet alors qu’il avait été invité à le faire tant dans l’intitulé du poste que par courrier électronique du service employeurs le lendemain de l’envoi de sa lettre de candidature, le recourant a ainsi, d'un point de</w:t>
      </w:r>
    </w:p>
    <w:p>
      <w:r>
        <w:t>A/861/2023 - 13/15 - vue objectif, fait échouer la perspective de conclure un contrat de travail, ce qui est assimilé à un refus d'accepter un emploi convenable. Qu’il ait échangé à ce propos avec sa conseillère est sans pertinence au vu de la demande explicite qui lui était faite et à laquelle il n’a même pas pris la peine de répondre. Dès lors, la sanction prononcée était justifiée dans son principe.</w:t>
      </w:r>
    </w:p>
    <w:p>
      <w:r>
        <w:rPr>
          <w:b/>
        </w:rPr>
        <w:t>E. 8.1</w:t>
      </w:r>
    </w:p>
    <w:p>
      <w:r>
        <w:t>Le principe de la faute étant admis, il reste à examiner la quotité de la sanction prononcée par l’intimé. Le Bulletin LACI IC (D79) qualifie de grave la faute consistant en un refus d’un emploi convenable à durée indéterminée assigné à l’assuré ou qu’il a trouvé lui- même, et fixe la suspension à une durée entre 31 à 45 jours.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défaut de candidature posée pour un emploi réputé convenable, qui s’apparente à un refus d’un tel emploi, ne doit pas systématiquement et forcément être qualifié de grave, bien que la présomption que tel est le cas se fonde non seulement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Cst.). Ainsi,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C 20/06 du 30 octobre 2006 consid. 4.2 ; ATAS/788/2016 du 4 octobre 2016 consid. 5a). L’égalité de traitement que des normes telles que l’art. 45 al. 4 OACI et, à titre de directives administratives, les barèmes établis par le SECO, visent à garantir, ne doit pas se réduire à de l’égalitarisme.</w:t>
      </w:r>
    </w:p>
    <w:p>
      <w:r>
        <w:t>A/861/2023 - 14/15 -</w:t>
      </w:r>
    </w:p>
    <w:p>
      <w:r>
        <w:rPr>
          <w:b/>
        </w:rPr>
        <w:t>E. 8.2</w:t>
      </w:r>
    </w:p>
    <w:p>
      <w:r>
        <w:t>Il s’agit d’examiner si des circonstances particulières pouvaient justifier de s’écarter de la présomption qu’un défaut de suite donnée à une assignation procède d’une faute grave et doit dès lors, s’agissant d’un second manquement, donner lieu à une suspension de 34 jours du droit à l’indemnité de chômage, laquelle équivaut à près d’un mois et demi sans rémunération (étant rappelé que seuls les jours ouvrables sont concernés par une suspension du droit à l’indemnité de chômage, cinq indemnités journalières étant payées par semaine [art. 21 phr. 2 LACI]). Il apparait en l’occurrence que l’attention du recourant avait été spécifiquement attirée sur la nécessité de postuler en déposant un dossier complet, comprenant copie de ses diplômes et de ses certificats de travail, tant dans l’assignation que par courriel suivant l’envoi de sa lettre de motivation et de son CV, à défaut sa candidature ne pouvant être prise en compte. La simple lecture de ces documents permettait de constater le comportement qui était exigé de lui pour que la postulation effective soit enregistrée. Il est regrettable que le recourant ait choisi de ne pas faire parvenir les documents requis, pas plus qu’il n’a pris contact avec le service employeur qui lui avait écrit, pour obtenir des explications, voire lui-même commenter ces documents ou même expliquer leur absence. En concluant à l’annulation de la sanction, le recourant n’a visiblement pas pris la mesure de postuler de manière conforme à un emploi qui est assigné par l’OCE afin de diminuer le dommage et de retrouver, au plus vite, une activité lucrative.</w:t>
      </w:r>
    </w:p>
    <w:p>
      <w:r>
        <w:rPr>
          <w:b/>
        </w:rPr>
        <w:t>E. 8.3</w:t>
      </w:r>
    </w:p>
    <w:p>
      <w:r>
        <w:t>Au vu de ce qui précède, la négligence du recourant n’est pas légère ni moyenne mais justifie l’application du barème du SECO pour faute grave. A cela s’ajoute qu’il doit être tenu compte de la précédente sanction pour fixer la durée de la suspension du droit à l'indemnité de chômage. En fixant la suspension à 34 jours, soit une durée encore en-dessous de la durée médiane de 38 jours, l’intimé n’a pas excédé son pouvoir d’appréciation. Sans motifs pertinents et à défaut de circonstances de nature à faire apparaître une autre appréciation comme plus appropriée que celle de l’OCE, la chambre de céans n’a pas de raison de substituer sa propre appréciation à celle de l'administration pour diminuer la quotité de la sanction (ATF 137 V 71 consid. 5.2 ; arrêt du Tribunal fédéral 8C_758/2017 précité consid. 4.3).</w:t>
      </w:r>
    </w:p>
    <w:p>
      <w:r>
        <w:rPr>
          <w:b/>
        </w:rPr>
        <w:t>E. 9</w:t>
      </w:r>
    </w:p>
    <w:p>
      <w:r>
        <w:t>Il résulte de ce qui précède que la chambre de céans n’a d’autre choix que de rejeter le recours.</w:t>
      </w:r>
    </w:p>
    <w:p>
      <w:r>
        <w:rPr>
          <w:b/>
        </w:rPr>
        <w:t>E. 10</w:t>
      </w:r>
    </w:p>
    <w:p>
      <w:r>
        <w:t>Par ailleurs, la procédure est gratuite (art. 61 let. fbis LPGA).</w:t>
      </w:r>
    </w:p>
    <w:p>
      <w:r>
        <w:t>A/861/2023 - 15/15 -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