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ATAS/971/2020 vom 24. September 2020</w:t>
      </w:r>
    </w:p>
    <w:p>
      <w:r>
        <w:t>GE Cour de justice, 2020-09-24, FR</w:t>
      </w:r>
    </w:p>
    <w:p>
      <w:r>
        <w:rPr>
          <w:b/>
        </w:rPr>
        <w:t xml:space="preserve">Quelle: </w:t>
      </w:r>
      <w:r>
        <w:t>https://mcp.opencaselaw.ch/entscheid/ge_gerichte_ATAS_971_2020</w:t>
      </w:r>
    </w:p>
    <w:p>
      <w:r>
        <w:t>FR: GE_GERICHTE ATAS/971/2020 du 24 septembre 2020</w:t>
      </w:r>
    </w:p>
    <w:p>
      <w:r>
        <w:t>IT: GE_GERICHTE ATAS/971/2020 del 24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5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832.20). Sa compétence pour juger du cas d’espèce est ainsi établie.</w:t>
      </w:r>
    </w:p>
    <w:p>
      <w:r>
        <w:rPr>
          <w:b/>
        </w:rPr>
        <w:t>E. 2</w:t>
      </w:r>
    </w:p>
    <w:p>
      <w:r>
        <w:t>Prend acte de l’accord des parties de procéder à un complément d’expertise neuropsychologique.</w:t>
      </w:r>
    </w:p>
    <w:p>
      <w:r>
        <w:rPr>
          <w:b/>
        </w:rPr>
        <w:t>E. 3</w:t>
      </w:r>
    </w:p>
    <w:p>
      <w:r>
        <w:t>Renvoie la cause à l’intimée pour ce faire.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