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ATAS/971/2019 vom 24. Oktober 2019</w:t>
      </w:r>
    </w:p>
    <w:p>
      <w:r>
        <w:t>GE Cour de justice, 2019-10-24, FR</w:t>
      </w:r>
    </w:p>
    <w:p>
      <w:r>
        <w:rPr>
          <w:b/>
        </w:rPr>
        <w:t xml:space="preserve">Quelle: </w:t>
      </w:r>
      <w:r>
        <w:t>https://mcp.opencaselaw.ch/entscheid/ge_gerichte_ATAS_971_2019</w:t>
      </w:r>
    </w:p>
    <w:p>
      <w:r>
        <w:t>FR: GE_GERICHTE ATAS/971/2019 du 24 octobre 2019</w:t>
      </w:r>
    </w:p>
    <w:p>
      <w:r>
        <w:t>IT: GE_GERICHTE ATAS/971/2019 del 24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il n’est pas contesté que le recourant présente dans son activité habituelle une incapacité de travail de longue durée depuis le 16 novembre 2016 suite à la déchirure du ligament de son épaule gauche consécutive à son accident. Le SMR s’est fondé sur les indications de la Dresse C______ pour conclure en revanche à une entière capacité de travail dans une activité adaptée dès le 1er novembre 2017 compte tenu de ses limitations fonctionnelles, soit une impotence dans un plan au-delà de 90° et l’interdiction du port de charges supérieures à 10 kg (cf. rapport de la Dresse C______ du 8 novembre 2018). Le recourant allègue une aggravation de son état de santé, soit une recrudescence de douleurs depuis octobre 2018 en raison de la reprise d’une activité de nettoyeur à 100%. Il ajoute avoir été en arrêt de travail jusqu'au 12 avril 2019 de ce fait. Ce grief tombe à faux dans la mesure où il a été reconnu par les médecins que cette activité n'était pas adaptée à son état de santé. L'apparition de la bursite sous- acromiale gauche, mise en évidence le 28 octobre 2018, reste par ailleurs compatible avec une activité adaptée, comme l'indique la Dresse C______ dans son rapport du 8 novembre 2018. Les pièces produites par le recourant ne permettent pas d'infirmer les précédentes conclusions de la Dresse C______ et partant, du SMR. En particulier, la Cour de céans relève que l'examen final du Dr. D______ du 29 juillet 2019 constate une situation suffisamment stabilisée deux ans après l'intervention chirurgicale et</w:t>
      </w:r>
    </w:p>
    <w:p>
      <w:r>
        <w:t>A/591/2019 - 9/17 - considère également comme exigible une activité adaptée - soit évitant le maniement d'outils lourds, le travail répétitif au-dessus de la tête, le port des charges de plus de 15 kg et les « travaux en l'air » - laquelle peut être exercée à plein temps et plein rendement. Ce rapport du 29 juillet 2019 confirme ainsi les précédents avis médicaux reconnaissant une entière capacité de travail au recourant dans une activité adaptée dès le 1er novembre 2017. Eu égard à ce qui précède, la Cour de céans fait donc siennes les conclusions du SMR quant à l’existence d’une pleine capacité de travail dans une activité respectant les limitations fonctionnelles de l'assuré et sans diminution de rendement.</w:t>
      </w:r>
    </w:p>
    <w:p>
      <w:r>
        <w:rPr>
          <w:b/>
        </w:rPr>
        <w:t>E. 8</w:t>
      </w:r>
    </w:p>
    <w:p>
      <w:r>
        <w:t>Reste à vérifier le calcul du degré d’invalidité auquel a procédé l’intimé.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w:t>
      </w:r>
    </w:p>
    <w:p>
      <w:r>
        <w:t>A/591/2019 - 10/17 -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rPr>
          <w:b/>
        </w:rPr>
        <w:t>E. 9</w:t>
      </w:r>
    </w:p>
    <w:p>
      <w:r>
        <w:t>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w:t>
      </w:r>
    </w:p>
    <w:p>
      <w:r>
        <w:t>A/591/2019 - 11/17 - l'administration; il doit s'appuyer sur des circonstances de nature à faire apparaître sa propre appréciation comme la mieux appropriée (ATF 126 V 75 consid. 6 ; ATF 123 V 150 consid. 2 et les références; arrêt du Tribunal fédéral 8C_337/2009 du 18 février 2010 consid. 7.5). 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c. On peut rappeler les principes suivants s'agissant des différents facteurs devant être pris en considération dans la fixation de l'abattement. Le manque de formation n'est pas déterminant dès lors qu'il s'agit d'un facteur étranger à l'invalidité (arrêt du Tribunal fédéral 9C_474/2010 du 11 avril 2011 consid. 3.2). L'analphabétisme n'est pas non plus un critère dont l'assurance- invalidité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L'âge d'un assuré ne constitue pas en soi un facteur de réduction du salaire statistique et ne justifie pas que l'on procède à un abattement en l'absence d'autres circonstances. Pour autant, l'effet de l'âge cumulé avec un handicap doit faire l'objet d'un examen dans le cas concret, les possibles effets pénalisants au niveau salarial induits par cette constellation aux yeux d'un employeur potentiel pouvant être compensés par d'autres éléments fonctionnels tels que la formation et l'expérience professionnelle (David IONTA, Fixation du revenu d'invalide selon l'ESS, in: Jusletter 22 octobre 2018, RZ 201). À titre d'exemple, notre Haute Cour a jugé que la modification d'un abattement de</w:t>
      </w:r>
    </w:p>
    <w:p>
      <w:r>
        <w:rPr>
          <w:b/>
        </w:rPr>
        <w:t>E. 10</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la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w:t>
      </w:r>
    </w:p>
    <w:p>
      <w:r>
        <w:t>A/591/2019 - 13/17 -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11</w:t>
      </w:r>
    </w:p>
    <w:p>
      <w:r>
        <w:t>a. En l’espèce, l'intimé s'est basé sur la situation professionnelle concrète du recourant pour déterminer son salaire avant invalidité. À cet égard, il s'est référé au salaire obtenu auprès du dernier employeur avant la survenance de l'atteinte (sur la base de l'extrait de compte individuel AVS). S’agissant du revenu d’invalide, il est également conforme au droit de le déterminer en fonction du salaire statistique tiré d’activités simples et répétitives pour un homme (Enquête suisse sur la structure des salaires 2016, TA1, niveau d'activité 1, soit CHF 5'567.- CHF/mois = 66'803.- CHF/an = CHF 67'052.- après indexation et adaptation à la durée normale de travail de 41.7 h./sem) dans la mesure où le recourant n'a pas repris d'activité adaptée depuis son accident. En opérant un abattement de 10% sur ce salaire, l’intimé est resté dans les limites de son pouvoir d’appréciation, au vu notamment du handicap et de l’âge de l’assuré, de sorte que la Cour de céans ne s’en écartera pas. La faible maîtrise du français et l’absence de formation sont des facteurs étrangers à l’assurance- invalidité qui n’ont pas à être pris en compte dans ce cadre (arrêt du Tribunal fédéral 8C_175/2017 du 30 octobre 2017 consid. 5.3). Vu l'absence de formation spécifique et d'expérience professionnelle particulière requise pour la reprise d'une activité adaptée, les effets pénalisants au niveau salarial induits par l'âge de l'assuré ne sont pas suffisamment établis pour augmenter la valeur d'abattement déterminée par l'intimé (cf. arrêt du Tribunal fédéral 8C_103/2018 et arrêt du Tribunal fédéral 8C_131/2018 op.cit. consid. 5.2 et les références). En effet, le fait que le recourant ne sache pas quelle activité entreprendre n'exclut pas encore l'existence d'une activité adaptée.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du Tribunal fédéral des assurances I 383/06 du 5 avril 2007 consid. 4.4), un nombre significatif d'entre elles, ne nécessitant aucune formation spécifique, sont adaptées aux problèmes physiques du recourant et sont, en règle générale, disponibles indépendamment de l'âge de l'intéressé sur le marché équilibré du travail (arrêts du Tribunal fédéral 9C_646/2010 du 23 février 2011 consid. 4 et 8C_657/2010 du 19 novembre 2010 consid. 5.2.3). À titre d'exemples, on peut citer les activités de surveillant de</w:t>
      </w:r>
    </w:p>
    <w:p>
      <w:r>
        <w:t>A/591/2019 - 14/17 - machines, gardien de parking ou ouvrier d'usine, accessibles à l’assuré en dépit de ses capacités d’adaptation restreintes. En conséquence, le revenu après invalidité est ainsi de CHF 60'392.-, montant qui, comparé au revenu avant invalidité, conduit à un degré d’invalidité de 0%, soit une absence de perte de gain, ne permettant pas d'ouvrir droit à une rente. C’est le lieu de noter que, même si la Cour avait admis un abattement de 15%, voire 25%, le degré d’invalidité en découlant resterait inférieur à 40% et donc insuffisant pour ouvrir droit à une rente. b. S’agissant plus particulièrement de l’âge de l’assuré, il convient de relever que celui-ci était âgé de 57 ans et sept mois lorsque la Dresse E______ a constaté que l'exercice d'une activité adaptée était exigible à plein temps (cf. rapport du 8 novembre 2018 de la Dresse E______). Or, le Tribunal fédéral a estimé qu’un 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du Tribunal fédéral 9C_695/2010 du 15 mars 2011 consid. 6.3 ; 9C_1043/2008 du 2 juillet 2009 consid. 3.3 ; 9C_651/2008 du 9 octobre 2009 consid. 6.2.2.2). À l'instar de l'assuré ayant fait l'objet de cette jurisprudence, on ne saurait donc considérer que le recourant aurait atteint le seuil à partir duquel on pourrait admettre une impossibilité à réintégrer le marché du travail.</w:t>
      </w:r>
    </w:p>
    <w:p>
      <w:r>
        <w:rPr>
          <w:b/>
        </w:rPr>
        <w:t>E. 12</w:t>
      </w:r>
    </w:p>
    <w:p>
      <w:r>
        <w:t>Enfin, le recourant se plaint de ne pas savoir dans quel domaine reprendre une activité. Dès lors, il convient d'examiner la question d'une orientation professionnelle.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w:t>
      </w:r>
    </w:p>
    <w:p>
      <w:r>
        <w:t>A/591/2019 - 15/17 - appropriée au but de la réadaptation poursuivie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 L'art. 15 LAI dispose que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13</w:t>
      </w:r>
    </w:p>
    <w:p>
      <w:r>
        <w:t>En l'espèce, il ne ressort pas des pièces versées au dossier que le recourant rencontrerait de réelles difficultés pour retrouver une activité lucrative adaptée à ses limitations. Le Tribunal fédéral a en effet considéré, en présence de limitations fonctionnelles liées à l'absence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w:t>
      </w:r>
    </w:p>
    <w:p>
      <w:r>
        <w:t>A/591/2019 - 16/17 - d’orientation professionnelle apparaît superflu (arrêt du Tribunal fédéral 9C_534/2010 du 10 février 2011 consid. 4.3). Dès lors, le recourant n'a pas droit à une mesure d'orientation professionnelle. Eu égard aux considérations qui précèdent, le recours est rejeté. Etant donné que, depuis le 1er juillet 2006, la procédure n'est plus gratuite (art. 69 al. 1bis LAI), au vu du sort du recours, il y a lieu de condamner le recourant au paiement d'un émolument de CHF 200.-.</w:t>
      </w:r>
    </w:p>
    <w:p>
      <w:r>
        <w:t>A/591/2019 - 17/17 -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