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ATAS/971/2015 vom 10. Dezember 2015</w:t>
      </w:r>
    </w:p>
    <w:p>
      <w:r>
        <w:t>GE Cour de justice, 2015-12-10, FR</w:t>
      </w:r>
    </w:p>
    <w:p>
      <w:r>
        <w:rPr>
          <w:b/>
        </w:rPr>
        <w:t xml:space="preserve">Quelle: </w:t>
      </w:r>
      <w:r>
        <w:t>https://mcp.opencaselaw.ch/entscheid/ge_gerichte_ATAS_971_2015</w:t>
      </w:r>
    </w:p>
    <w:p>
      <w:r>
        <w:t>FR: GE_GERICHTE ATAS/971/2015 du 10 décembre 2015</w:t>
      </w:r>
    </w:p>
    <w:p>
      <w:r>
        <w:t>IT: GE_GERICHTE ATAS/971/2015 del 10 dicembre 2015</w:t>
      </w:r>
    </w:p>
    <w:p>
      <w:pPr>
        <w:pStyle w:val="Heading2"/>
      </w:pPr>
      <w:r>
        <w:t>Erwägungen</w:t>
      </w:r>
    </w:p>
    <w:p>
      <w:r>
        <w:rPr>
          <w:b/>
        </w:rPr>
        <w:t>E. 1</w:t>
      </w:r>
    </w:p>
    <w:p>
      <w:r>
        <w:t>Conformément à l'art. 134 al. 1 let. a ch. 5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force le 1er janvier 2003, est applicable à la présente procédure.</w:t>
      </w:r>
    </w:p>
    <w:p>
      <w:r>
        <w:rPr>
          <w:b/>
        </w:rPr>
        <w:t>E. 3</w:t>
      </w:r>
    </w:p>
    <w:p>
      <w:r>
        <w:t>Le recours a été déposé dans les délai et forme prévus par la loi (art. 56ss LPGA).</w:t>
      </w:r>
    </w:p>
    <w:p>
      <w:r>
        <w:rPr>
          <w:b/>
        </w:rPr>
        <w:t>E. 4</w:t>
      </w:r>
    </w:p>
    <w:p>
      <w:r>
        <w:t>L'objet du litige dans la procédure administrative contentieuse est le rapport juridique qui - dans le cadre de l'objet de la contestation déterminé par la décision - constitue, d'après les conclusions du recours, l'objet de la décision effectivement attaqué. D'après cette définition, l'objet de la contestation et l'objet du litige sont</w:t>
      </w:r>
    </w:p>
    <w:p>
      <w:r>
        <w:t>A/3417/2014 - 9/18 -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9C_441/2008 du 10 juin 2009 consid. 2.2). En l’espèce, la décision sur opposition circonscrit l’objet de la contestation au seul droit à la rente du recourant et ce dernier ne prend pas de conclusions portant sur d’autres prestations dans son recours du 10 novembre 2014. Ainsi, conformément à la jurisprudence précitée, l’objet du litige se limite au taux d’invalidité du recourant – et au droit à la rente qui en découle. Le montant des indemnités journalières n’a dès lors pas à être examiné par la chambre de céans.</w:t>
      </w:r>
    </w:p>
    <w:p>
      <w:r>
        <w:rPr>
          <w:b/>
        </w:rPr>
        <w:t>E. 5</w:t>
      </w:r>
    </w:p>
    <w:p>
      <w:r>
        <w:t>Il y a lieu au préalable d’examiner la demande de jonction de la présente procédure à celle qui oppose le recourant à l’OAI. En vertu de l’art. 70 al. 1 de la loi sur la procédure administrative (LPA – E 5 10), l’autorité peut, d’office ou sur requête, joindre en une même procédure des affaires qui se rapportent à une situation identique ou à une cause juridique commune. En l’espèce, les parties ne sont pas identiques, de sorte qu’une jonction des causes ne se justifie pas. La requête du recourant sera ainsi rejetée.</w:t>
      </w:r>
    </w:p>
    <w:p>
      <w:r>
        <w:rPr>
          <w:b/>
        </w:rPr>
        <w:t>E. 6</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w:t>
      </w:r>
    </w:p>
    <w:p>
      <w:r>
        <w:t>A/3417/2014 - 10/18 - raisonnablement être exigée de lui après les traitements et les mesures de réadaptation, sur un marché du travail équilibré (art. 16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w:t>
      </w:r>
    </w:p>
    <w:p>
      <w:r>
        <w:rPr>
          <w:b/>
        </w:rPr>
        <w:t>E. 7</w:t>
      </w:r>
    </w:p>
    <w:p>
      <w:r>
        <w:t>L'invalidité est une notion économique et non médicale, où sont prises en compte les répercussions de l'atteinte à la santé sur la capacité de gain (arrêt du Tribunal fédéral des assurances I 15/06 du 21 décembre 2006 consid. 2.2). La notion d'invalidité définie à l'art. 8 LPGA, est en principe identique en matière d'assurance-accidents, d'assurance militaire et d'assurance-invalidité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A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non-professionnelle. Encore faut-il, pour que l'assurance-invalidité soit liée par l'évaluation de l'assurance-accidents, que celle-ci ait fait l'objet d'une décision passée en force. Tel est le cas si l'entrée en force de la décision de l'assurance-accidents est postérieure à la décision attaquée de l'assurance-invalidité, mais qu'elle est intervenue au cours de la procédure de recours (arrêt du Tribunal fédéral des assurances U 406/01 du 28 novembre 2002 consid. 1.2). Ces principes valent également lorsqu’à l’inverse, la décision de l’assurance-accidents est postérieure à celle de l’assurance-invalidité (arrêt du Tribunal fédéral des assurances U 259/00 du 16 mars 2001 consid. 5b).</w:t>
      </w:r>
    </w:p>
    <w:p>
      <w:r>
        <w:rPr>
          <w:b/>
        </w:rPr>
        <w:t>E. 8</w:t>
      </w:r>
    </w:p>
    <w:p>
      <w:r>
        <w:t>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w:t>
      </w:r>
    </w:p>
    <w:p>
      <w:r>
        <w:t>A/3417/2014 - 11/18 - travers du montant du gain assuré (arrêt du Tribunal fédéral 8C_708/200 du 21 août 2008 consid. 5.5). Lorsqu'on peut partir de l'idée que l'assuré aurait continué son activité professionnelle sans la survenance de l'atteinte à la santé, on prendra en compte le revenu qu'il obtenait dans le poste occupé jusqu'alors (RAMA 2006 n° U 568 p. 66, consid. 2; arrêt du Tribunal fédéral 8C_708/2007 du 21 août 2008 consid. 5.5). La prise en compte des gains accessoires intervient sans égard au rendement et au temps consacré pour leur obtention. Elle s'étend donc aux revenus obtenus dans une activité accomplie en supplément d'un emploi exercé dans les limites d'un horaire de travail normal (arrêt du Tribunal fédéral 8C_676/2007 du 11 mars 2008 consid. 3.3.2). Les revenus réalisés dans des activités accessoires ne sont pris en compte dans le revenu sans invalidité que si l'on peut admettre que l'assuré aurait continué, selon toute vraisemblance, à les percevoir sans la survenance de l'atteinte à la santé. En d'autres termes, la prise en compte d'un revenu accessoire suppose un lien entre l'atteinte à la santé et la cessation de l'activité s'y rapportant (arrêt du Tribunal fédéral 8C_274/2009 du 3 décembre 2009 consid. 6 et les références).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2ème éd.,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justifiée ni admissible (ATF 129 V 472 consid. 4.2.3).</w:t>
      </w:r>
    </w:p>
    <w:p>
      <w:r>
        <w:rPr>
          <w:b/>
        </w:rPr>
        <w:t>E. 9</w:t>
      </w:r>
    </w:p>
    <w:p>
      <w:r>
        <w:t>En matière d’assurance-invalidité,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w:t>
      </w:r>
    </w:p>
    <w:p>
      <w:r>
        <w:t>A/3417/2014 - 12/18 -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9C_695/2010 du 15 mars 2011 consid. 5). L’assurance-invalidité n’a pas à répondre du fait qu’un assuré ne trouve plus d’emploi adapté à ses atteintes à la santé en raison de son âge. Dans le cadre de l’examen de l’exigibilité qu’imposent tant la notion de marché du travail équilibré que le devoir de réadaptation – examen qui interdit de partir d’hypothèses irréalistes, – l’âge avancé ne constitue toutefois pas un facteur étranger à l’invalidité, mais fait partie des caractéristiques qui, cumulées aux circonstances personnelles et professionnelles, peuvent avoir pour conséquence que la capacité résiduelle de gain de l’assuré n’est de manière réaliste plus demandée sur le marché équilibré du travail et que sa mise en valeur n’est plus exigible (arrêt du Tribunal fédéral des assurances I 819/04 du 27 mai 2005 consid. 2.2 et les références). Le moment auquel la question de la mise en valeur de la capacité (résiduelle) de travail pour un assuré proche de l'âge de la retraite doit être examinée correspond au moment auquel il a été constaté que l'exercice d'une activité lucrative était médicalement exigible, soit dès que les documents médicaux permettent d'établir de manière fiable les faits y relatifs (ATF 138 V 457 consid. 3). Le Tribunal fédéral a considéré que le seuil dès lequel on peut parler d’âge avancé se situe à 60 ans (arrêt du Tribunal fédéral 9C_612/2007 du 14 juillet 2008 consid. 5.2).</w:t>
      </w:r>
    </w:p>
    <w:p>
      <w:r>
        <w:rPr>
          <w:b/>
        </w:rPr>
        <w:t>E. 10</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w:t>
      </w:r>
    </w:p>
    <w:p>
      <w:r>
        <w:t>A/3417/2014 - 13/18 -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11</w:t>
      </w:r>
    </w:p>
    <w:p>
      <w:r>
        <w:t>Un justiciable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vom 6. Oktober 2000, 2ème éd., Zürich 2009, n. 72 ad art. 61).</w:t>
      </w:r>
    </w:p>
    <w:p>
      <w:r>
        <w:t>A/3417/2014 - 14/18 -</w:t>
      </w:r>
    </w:p>
    <w:p>
      <w:r>
        <w:rPr>
          <w:b/>
        </w:rPr>
        <w:t>E. 12</w:t>
      </w:r>
    </w:p>
    <w:p>
      <w:r>
        <w:t>En l’espèce, il convient en premier lieu de relever ce qui suit au sujet de la capacité de travail et de gain du recourant. Aucun rapport médical ne satisfait en tous points aux réquisits jurisprudentiels développés, en particulier pas celui des médecins de la CRR. Ce document ne contient en effet pas d’anamnèse et on ignore si ses auteurs ont eu accès au dossier médical du recourant, qui n’y est pas résumé. De plus, sur le fond, ce rapport présente des contradictions. En effet, les Drs F_______ et G_______ ont noté que des facteurs étrangers influençaient les aptitudes fonctionnelles du recourant et que ce dernier était focalisé sur ses douleurs. Une telle conclusion ne manque pas d’étonner, dès lors que les médecins ont également souligné que les lésions objectives expliquaient les plaintes et les limitations fonctionnelles du recourant. Par ailleurs, bien qu’une discopathie ait été constatée, aucune limitation fonctionnelle en lien avec les lombalgies du recourant n’a été retenue. Il est vrai qu’il s’agit selon le diagnostic des médecins de la CRR de troubles lombaires dégénératifs, soit d’affections a priori sans lien avec l’accident, dont l’intimée ne répond pas à défaut de lien de causalité naturelle avec l’accident (arrêt du Tribunal fédéral 8C_464/2014 du 17 juillet 2015 consid. 3.1). Ces lacunes ne sont cependant pas d’une importance telle qu’il faille s’écarter des conclusions des médecins de la CRR, selon lesquelles le recourant dispose d’une capacité de travail totale dans une activité adaptée à ses limitations fonctionnelles. En effet, il n’existe aucun rapport médical attestant du contraire et le recourant ne signale pas d’autre atteinte dont il n’aurait pas été tenu compte. L’examen des DPT révèle pour le surplus qu’elles sont adaptées aux troubles du recourant, dès lors qu’elles n’impliquent pas de tâche ou de posture incompatible avec les limitations fonctionnelles retenues. Et même à supposer que les médecins n’aient pas suffisamment tenu compte des lombalgies du recourant dans la délimitation des activités adaptées, il faut relever qu’aucune des DPT réunies par l’intimée ne comprend d’activité sollicitant particulièrement le rachis, si bien que cette imprécision éventuelle reste sans conséquence. Les arguments du recourant ne permettent pas de parvenir à une autre appréciation. Il n’existe aucun indice qu’il ne peut travailler en tant que collaborateur de production. En effet, selon le DPT correspondant, la seule précaution nécessaire est le port de gants, si bien qu’on peut admettre qu’il ne s’agit pas de composés volatiles auxquels le recourant ne doit pas être exposé en raison de son asthme. Il fait également valoir qu’il n’est pas établi qu’il dispose des facultés nécessaires à l’exercice des autres activités décrites. Or, le dossier médical ne contient aucun élément permettant de l’exclure. Il n’apparaît notamment pas que le recourant présenterait des atteintes des membres supérieurs ou des problèmes oculaires restreignant sa motricité et sa vision. Quant à la question de l’abattement statistique soulevée par le recourant, elle est sans pertinence lorsque le revenu d’invalide se fonde sur des DPT, conformément à la jurisprudence citée.</w:t>
      </w:r>
    </w:p>
    <w:p>
      <w:r>
        <w:t>A/3417/2014 - 15/18 - Le recourant ne conteste d’ailleurs pas disposer d’une capacité de travail complète dans une activité adaptée au plan médico-théorique. Il reproche en revanche à l’intimée de s’être écartée sans explications du calcul d’invalidité de l’OAI. A cet égard, la chambre de céans rappelle que, conformément à la jurisprudence développée ci-dessus, l’assurance-invalidité doit tenir compte de l’âge avancé d’un assuré lorsqu’elle se prononce sur son droit à la rente. En matière d’assurance-accidents, l’art. 28 al. 4 de l’ordonnance sur l'assurance- accidents (OLAA - RS 832.202) prévoit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vise deux situations : celle où l’assuré, en raison de son âge, ne reprend plus d’activité lucrative après l’accident et celle où l’atteinte à sa capacité de gain a principalement pour origine l’âge avancé de l’assuré. Dans ces deux cas, l’incapacité de gain doit être toutefois imputée au moins partiellement à l’accident. Le revenu hypothétique déterminant pour l’évaluation du degré d’invalidité est alors celui qu’un assuré d’âge moyen dont la santé a subi une atteinte de même gravité pourrait réaliser. Ce système repose sur le fait qu’une même atteinte à la santé peut entraîner chez une personne âgée une invalidité totale, alors qu’elle n’occasionne souvent aucune invalidité chez une personne d’âge moyen. L’art. 28 al. 4 OLAA empêche que l’assuré d’âge avancé dont l’invalidité due à l’accident est peu importante perçoive une rente viagère d’invalidité, qui aurait en l’occurrence le caractère d’une rente de vieillesse. L’assuré d’âge avancé ne percevra donc une rente d’invalidité que dans la mesure où une telle rente serait octroyée dans les mêmes conditions à un assuré d’âge moyen, présentant les mêmes capacités professionnelles et les mêmes aptitudes (André GHÉLEW / Olivier RAMELET / Jean-Baptiste RITTER, Commentaire de la loi sur l'assurance- accidents, Lausanne 1992, p. 103). Selon la jurisprudence, l’âge moyen au sens de l’art. 28 al. 4 OLAA se situe entre 40 et 45 ans (ATF 122 V 418 consid. 1b). L'art. 28 al. 4 OLAA impose de se fonder sur les circonstances hypothétiques d'un assuré d'un âge moyen non seulement pour la fixation du revenu d'invalide, mais également pour celui du revenu avant invalidité (ATF 114 V 312 consid. 2 ; RAMA 1997 n° U 271 p. 152 consid. 7b/aa). Dans un cas d’application concernant une assurée de 62 ans ayant travaillé en qualité de vendeuse avant son accident, le Tribunal fédéral s’est fondé s’agissant du revenu sans invalidité sur le salaire de vendeuse ressortant du contrat-type de travail dans la branche – tenant compte du fait que la recourante ne se serait pas durablement contentée du revenu effectivement réalisé, largement inférieur – et pour le revenu avec invalidité sur le revenu statistique dans des activités simples et répétitives selon l’Enquête suisse sur la structure des salaires (arrêt du Tribunal</w:t>
      </w:r>
    </w:p>
    <w:p>
      <w:r>
        <w:t>A/3417/2014 - 16/18 - fédéral des assurances U 21/03 du 25 août 2003 consid. 4.2.1 et 4.2.2). Dans le cadre de l’évaluation de l’invalidité sur la base de l’art. 28 al. 4 OLAA, il est également possible de se référer pour le revenu avec invalidité au salaire tiré de DPT (à titre d’exemple arrêt du Tribunal fédéral 8C_250/2009 du 1er juillet 2009 consid. 3.2.2 et 3.3). Ainsi, si en matière d’assurance-invalidité, l’octroi d’une rente peut s’imposer en raison du fait que l’âge avancé de l’assuré rend illusoire une réinsertion professionnelle, l’art. 28 al. 4 OLAA s’oppose précisément à l’allocation d’une rente pour ce motif dans l’assurance-accidents (cf. arrêt du Tribunal fédéral 8C_846/2008 du 9 février 2009 consid. 2.4 ; arrêt du Tribunal fédéral des assurances U 332/05 du 17 mars 2006 consid. 2.2.2). Cette disposition réglementaire a ainsi pour effet que l’assurance-accidents est fondée à s’écarter de l’appréciation de l’invalidité de l’assurance-invalidité lorsqu’il s’agit d’assurés ayant atteint un âge avancé – comme c’est le cas du recourant. Ainsi, compte tenu du fait que l’OAI et l’assureur-accidents ne doivent pas tenir compte des mêmes paramètres lors de l’évaluation de l’invalidité, l’apport du dossier de l’OAI s’avère inutile, par appréciation anticipée des preuves. Il n’est en outre pas inutile de souligner que les modalités de fixation de l’invalidité par l’intimée sont conformes à l’art. 28 al. 4 OLAA, dont s’est précisément prévalu le recourant. En effet, l’intimée a tenu compte du revenu qu’il pourrait réaliser dans une activité adaptée, faisant ainsi précisément abstraction des répercussions de son âge sur la réalisation d’un revenu d’invalide. Comme cela ressort des arrêts cités plus haut, l’application de cette disposition n’exige pas de déterminer le salaire correspondant à la tranche d’âge de 40 à 45 ans, mais de retenir le revenu qu’un assuré d’âge moyen présentant les mêmes atteintes peut espérer réaliser en mettant en valeur sa capacité résiduelle de travail dans une activité adaptée sur un marché équilibré du travail, lorsque l’âge ne rend pas la perspective d’une réinsertion irréaliste. Eu égard à ce qui précède, c’est à juste titre que l’intimée a considéré que le recourant peut mettre en valeur sa capacité de travail dans une activité adaptée, à temps plein et sans diminution de rendement et ce, malgré son âge.</w:t>
      </w:r>
    </w:p>
    <w:p>
      <w:r>
        <w:rPr>
          <w:b/>
        </w:rPr>
        <w:t>E. 13</w:t>
      </w:r>
    </w:p>
    <w:p>
      <w:r>
        <w:t>Reste à examiner le calcul d’invalidité auquel a procédé l’intimée. Le revenu avec invalidité retenu ne prête pas flanc à la critique puisqu’il est tiré d’activités adaptées aux limitations fonctionnelles du recourant, comme on l’a vu. La chambre de céans s’en tiendra ainsi au revenu avec invalidité de CHF 53'759.20 en 2014 tiré des DPT. En ce qui concerne le revenu sans invalidité, dans le questionnaire rempli le 1er mai 2014, l’employeur a fait état d’un salaire de 23.- CHF/h., auxquels s’ajouteraient une indemnité de CHF 1.91 pour le 13ème salaire et une autre d’un montant identique. Au sujet de cette « autre indemnité », la chambre de céans relève que le montant de CHF 1.91 représente 8.33 % du salaire horaire. On doit ainsi admettre</w:t>
      </w:r>
    </w:p>
    <w:p>
      <w:r>
        <w:t>A/3417/2014 - 17/18 - qu’il s’agit du salaire afférent aux vacances, un pourcentage de 8.33 % du salaire correspondant à 4 semaines de vacances sur une période d’une année (Rémi WYLER / Boris HEINZER, Droit du travail, 3ème éd. 2014, p. 400). Le salaire horaire total est ainsi de CHF 26.82. A raison de 43 heures par semaine durant 48 semaines par année après déduction des vacances, le salaire sans heures supplémentaires s’élève ainsi à CHF 55'356.50. L’intimée a procédé à un calcul légèrement différent, puisqu’elle n’a pas intégré l’indemnité de vacances au salaire horaire, mais qu’elle a multiplié le gain hebdomadaire par 52 semaines plutôt que 48 semaines, ce qui correspond à 4 semaines de vacances payées par an. On s’en tiendra à son calcul, puisqu’il est légèrement favorable au recourant. Sans invalidité, le revenu de base du recourant se serait ainsi élevé à CHF 55'711.95 par année. Quant aux heures supplémentaires régulièrement réalisées par le recourant, la chambre de céans rappelle que selon l’art. 321c al. 3 du Code des obligations (CO - RS 220), l'employeur est tenu de rétribuer les heures de travail supplémentaires qui ne sont pas compensées par un congé en versant le salaire normal majoré d'un quart au moins, sauf clause contraire d'un accord écrit, d'un contrat-type de travail ou d'une convention collective. Le salaire normal doit comprendre tous les éléments composant la rémunération obligatoirement due par l'employeur, y compris le 13ème salaire et les diverses indemnités prévues contractuellement en relation avec le travail (arrêt du Tribunal fédéral 4C.414/2005 du 29 mars 2006 consid. 5.2). Quant au salaire afférent aux vacances, il doit être calculé sur la base du salaire mensuel complet, comprenant notamment les indemnités versées à titre d’heures supplémentaires, pour autant qu’elles aient un caractère régulier (ATF 132 III 172 consid. 3.1). Eu égard à ces principes, la rémunération des heures supplémentaires doit englober les suppléments pour le 13ème salaire et pour les vacances, comme le souligne à juste titre le recourant. Les 40 heures que le recourant aurait accomplies en 2014 représentent ainsi un montant de CHF 1'341.- (soit le salaire horaire de CHF 26.82, vacances et 13ème salaire inclus, majoré de 25 % pour atteindre CHF 33.50, multiplié par 40). Le revenu sans invalidité aurait ainsi atteint CHF 57'052.95 en 2014. Il n’y a pas lieu d’indexer ce revenu, puisque le salaire horaire déclaré par l’employeur est celui applicable en 2014, année pour laquelle doit être calculé le droit à la rente. Le degré d’invalidité résultant de la comparaison des revenus, soit 5.77 %, est inférieur au seuil de 10% ouvrant le droit à une rente conformément à l’art. 18 al. 1 LAA. La décision de l’intimée doit ainsi être confirmée en tant qu’elle nie le droit du recourant à une rente.</w:t>
      </w:r>
    </w:p>
    <w:p>
      <w:r>
        <w:rPr>
          <w:b/>
        </w:rPr>
        <w:t>E. 14</w:t>
      </w:r>
    </w:p>
    <w:p>
      <w:r>
        <w:t>Eu égard à ce qui précède, le recours doit être rejeté. Le recourant, qui succombe, n’a pas droit à des dépens (art. 61 let. g LPGA). Pour le surplus, la procédure est gratuite (art. 61 let. a LPGA).</w:t>
      </w:r>
    </w:p>
    <w:p>
      <w:r>
        <w:t>A/3417/2014 - 18/18 -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