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ATAS/971/2008 vom 2. September 2008</w:t>
      </w:r>
    </w:p>
    <w:p>
      <w:r>
        <w:t>GE Cour de justice, 2008-09-02, FR</w:t>
      </w:r>
    </w:p>
    <w:p>
      <w:r>
        <w:rPr>
          <w:b/>
        </w:rPr>
        <w:t xml:space="preserve">Quelle: </w:t>
      </w:r>
      <w:r>
        <w:t>https://mcp.opencaselaw.ch/entscheid/ge_gerichte_ATAS_971_2008</w:t>
      </w:r>
    </w:p>
    <w:p>
      <w:r>
        <w:t>FR: GE_GERICHTE ATAS/971/2008 du 2 septembre 2008</w:t>
      </w:r>
    </w:p>
    <w:p>
      <w:r>
        <w:t>IT: GE_GERICHTE ATAS/971/2008 del 2 settembre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A/1050/2008 - 5/13 -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28 février 2008 et statuant sur un état de fait juridiquement déterminant remontant à fin 2004,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L'objet du litige porte sur le droit de l'assurée à une rente d'invalidité.</w:t>
      </w:r>
    </w:p>
    <w:p>
      <w:r>
        <w:rPr>
          <w:b/>
        </w:rPr>
        <w:t>E. 5</w:t>
      </w:r>
    </w:p>
    <w:p>
      <w:r>
        <w:t>a) Aux termes des art. 8 LPGA et 4 LAI, l'invalidité est la diminution de la capacité de gain, présumée permanente ou de longue durée, qui résulte d'une atteinte à la santé physique ou mentale, provenant d'une infirmité congénitale, d'une maladie ou d'un accident. Quant à l’incapacité de gain, elle est définie à l'art. 7 LPGA, comme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b) Selon l'art. 28 LAI, l'assuré a droit à une rente s'il est invalide à 40% au moins. La rente est échelonnée selon le taux d'invalidité : 40% au moins donne droit à un</w:t>
      </w:r>
    </w:p>
    <w:p>
      <w:r>
        <w:t>A/1050/2008 - 6/13 - quart de rente, 50% au moins donne droit à une demi rente, 60% au moins donne droit à un trois-quarts de rente, et 70% au moins donne droit à une rente entière</w:t>
      </w:r>
    </w:p>
    <w:p>
      <w:r>
        <w:rPr>
          <w:b/>
        </w:rPr>
        <w:t>E. 7</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w:t>
      </w:r>
    </w:p>
    <w:p>
      <w:r>
        <w:rPr>
          <w:b/>
        </w:rPr>
        <w:t>E. 8</w:t>
      </w:r>
    </w:p>
    <w:p>
      <w:r>
        <w:t>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w:t>
      </w:r>
    </w:p>
    <w:p>
      <w:r>
        <w:t>A/1050/2008 - 7/13 - ne peut, pratiquement, - sous réserve des cas de simulation ou d'exagération (SVR 2003 IV no 1 p. 2 consid. 3b/bb; voir aussi MEYER-BLASER, op. cit. p. 83, spéc. 87 sv.) - plus raisonnablement être exigée de l'assuré, ou qu'elle serait même insupportable pour la société (ATF 102 V 165;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 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w:t>
      </w:r>
    </w:p>
    <w:p>
      <w:r>
        <w:t>A/1050/2008 - 8/13 -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A/1050/2008 - 9/13 -</w:t>
      </w:r>
    </w:p>
    <w:p>
      <w:r>
        <w:rPr>
          <w:b/>
        </w:rPr>
        <w:t>E. 10</w:t>
      </w:r>
    </w:p>
    <w:p>
      <w:r>
        <w:t>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w:t>
      </w:r>
    </w:p>
    <w:p>
      <w:r>
        <w:rPr>
          <w:b/>
        </w:rPr>
        <w:t>E. 11</w:t>
      </w:r>
    </w:p>
    <w:p>
      <w:r>
        <w:t>En l'espèce, le médecin traitant, l'expert mandaté par la CSS caisse-maladie, ainsi que le Dr P__________, ont tous retenu les mêmes diagnostics, des cervicobrachialgies, un status après corporectomie, des lombosciatalgies et une hyperthyroïdie. Ils ont tous estimé l'incapacité de travail de l'assurée comme étant entière dans son activité d'employée de maison. Tant le Dr L__________ que le Dr M__________ toutefois ont indiqué que l'assurée ne pouvait plus travailler quelle que soit l'activité envisagée, alors que le Dr P__________ a considéré qu'une activité à 70% depuis juin 2005 était possible dans une activité respectant certaines limitations. Le Tribunal de céans constate que l'examen réalisé par le Dr P__________ remplit tous les réquisits de la jurisprudence permettant de lui attribuer pleine valeur probante. Il a expliqué en quoi consistaient les atteintes à la santé de l'assurée et quelles limitations elles entraînaient. Ces conclusions sont claires et bien motivées. Elles ont ainsi convaincu le Tribunal de céans, ce d'autant plus que le dossier au moment de l'examen effectué par le Dr P__________ était complet, ce qui n'était pas le cas lors de l'expertise réalisée par le Dr L__________ en octobre 2005. Il y a lieu de retenir en conséquence que les atteintes à la santé présentées par l'assurée entraînent une diminution de la capacité de travail dans une mesure ne dépassant pas 70%.</w:t>
      </w:r>
    </w:p>
    <w:p>
      <w:r>
        <w:rPr>
          <w:b/>
        </w:rPr>
        <w:t>E. 12</w:t>
      </w:r>
    </w:p>
    <w:p>
      <w:r>
        <w:t>Le Dr L__________ a évoqué la présence de troubles somatoformes. L'état dépressif dont souffre l'assurée, qui n'a du reste pas nécessité jusqu'à présent l'intervention d'un médecin psychiatre ne constitue cependant à l'évidence pas la comorbidité psychiatrique d'une acuité et d'une durée importante exigée par la jurisprudence pour qu'un trouble somatoforme douloureux soit considéré comme invalidant. Le Dr M__________ a diagnostiqué un état dépressif sans toutefois en qualifier l'intensité. Le Dr L__________ a fait état d'un épisode dépressif moyen. La Dresse Q__________ a exclu toute atteinte psychiatrique à caractère invalidant. Elle n'a trouvé aucun signe de symptômes parlant en faveur d'un trouble délirant ni une autre pathologie psychiatrique.</w:t>
      </w:r>
    </w:p>
    <w:p>
      <w:r>
        <w:rPr>
          <w:b/>
        </w:rPr>
        <w:t>E. 13</w:t>
      </w:r>
    </w:p>
    <w:p>
      <w:r>
        <w:t>Reste à examiner les autres critères consacrés par la jurisprudence, dont l'existence permet d'admettre le caractère non exigible de la reprise de travail. On ne voit pas que l'assurée réunit en sa personne plusieurs de ceux-ci, ou du moins pas dans une mesure très marquée, qui fonde un pronostic défavorable s'agissant de la reprise</w:t>
      </w:r>
    </w:p>
    <w:p>
      <w:r>
        <w:t>A/1050/2008 - 10/13 - d'une activité professionnelle. Le critère relatif aux affections corporelles chroniques (1) apparaît comme réalisé, l'assurée souffrant depuis plusieurs années de cervicobrachialgies et de lombosciatalgies plus particulièrement. Le critère relatif à la perte d'intégration sociale dans toutes les manifestations de la vie (2), n'est à l'évidence pas réalisé.</w:t>
      </w:r>
    </w:p>
    <w:p>
      <w:r>
        <w:t>Il y a lieu de constater que l'assurée ne consulte pas de médecin psychiatre. Aussi ne saurait-on parler d'un état psychique cristallisé, ni d'échecs de traitements (3 et 4). Il apparaît ainsi que l'assurée n'a pas épuisé toutes ses ressources adaptatives. Au vu de ce qui précède, force est de constater que l'état dépressif en cause ne se manifeste pas avec une telle sévérité que, d'un point de vue objectif, il exclut toute mise en valeur de sa capacité de travail. Au contraire, il y a lieu d'admettre le caractère exigible d'un effort de volonté de sa part en vue de surmonter la douleur et de se réinsérer dans un processus de travail. En l'absence de comorbidité psychiatrique, d'une acuité et d'une durée suffisamment importantes au sens de la jurisprudence, l'incapacité de travail résultant de tels troubles s'évalue en effet à la lumière de critères jurisprudentiels et non plus en regard des seules conclusions médicales dont il est dès lors possible de s'écarter.</w:t>
      </w:r>
    </w:p>
    <w:p>
      <w:r>
        <w:rPr>
          <w:b/>
        </w:rPr>
        <w:t>E. 14</w:t>
      </w:r>
    </w:p>
    <w:p>
      <w:r>
        <w:t>Reste à examiner le degré d'invalidité. A titre préalable, il faut examiner sous l'angle des art. 4 et 5 LAI quelle méthode d'évaluation de l’invalidité il convient d'appliquer (art. 28 LAI, en corrélation avec les art. 27ss RAI). Le choix de la méthode d'évaluation de l'invalidité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w:t>
      </w:r>
    </w:p>
    <w:p>
      <w:r>
        <w:rPr>
          <w:b/>
        </w:rPr>
        <w:t>E. 15</w:t>
      </w:r>
    </w:p>
    <w:p>
      <w:r>
        <w:t>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w:t>
      </w:r>
    </w:p>
    <w:p>
      <w:r>
        <w:t>A/1050/2008 - 11/13 - V 150 consid. 2c, 117 V 194 ss consid. 3b et les références citées; VSI 1997 p. 301 ss consid. 2b, 1996 p. 209 consid. 1c, et les références citées). Le critère de la vraisemblance prépondérante, qui est généralement appliqué dans le domaine du droit de l'assurance sociale, vaut également pour l'appréciation des preuves en assurances sociales (ATF 111 V 372 consid 1b et 105 V 229 consid 3a). La notion de vraisemblance prépondérante signifie que l'existence d'un fait est plus vraisemblable que son absence (cf. ATF 111 V 374).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16</w:t>
      </w:r>
    </w:p>
    <w:p>
      <w:r>
        <w:t>En l’espèce, l’assurée a travaillé jusqu'au 19 novembre 2004 à raison de 60%, comme employée de maison dans un EMS. Elle a indiqué qu'en bonne santé, elle aurait continué à exercer son activité au même pourcentage. Il convient par conséquent d’admettre que, sans limitation dans son état de santé, l’assurée aurait continué à travailler dans la même proportion qu'au moment de son arrêt de travail, si bien que son degré d'invalidité doit être déterminé selon la méthode mixte, à raison de 60% pour l'activité lucrative et de 40% pour les travaux habituels.</w:t>
      </w:r>
    </w:p>
    <w:p>
      <w:r>
        <w:rPr>
          <w:b/>
        </w:rPr>
        <w:t>E. 17</w:t>
      </w:r>
    </w:p>
    <w:p>
      <w:r>
        <w:t>En l'espèce, le Tribunal de céans a admis que la capacité de travail de l'assurée était de 70%, conformément aux constatations des médecins du SMR, ce dans le cadre d'une activité exercée à 60%. Il appert par ailleurs de l'enquête ménagère du 23 janvier 2008 qu'elle présente un empêchement à accomplir les travaux ménagers à hauteur de 43,15 %. Le calcul du degré d'invalidité a ainsi été établi sur la base de la comparaison des revenus et d'une capacité de travail de 70% pour la part qui aurait été consacrée à une activité lucrative, soit à 60%, et de l'empêchement à accomplir les travaux ménagers de 43,15%, pour la part de non-active, soit à 40%. Le Tribunal de céans constate que le calcul auquel a procédé l'OCAI s'agissant de la comparaison des revenus, est conforme aux dispositions légales et réglementaires applicables, ainsi qu'à la jurisprudence du TFA.</w:t>
      </w:r>
    </w:p>
    <w:p>
      <w:r>
        <w:t>A/1050/2008 - 12/13 -</w:t>
      </w:r>
    </w:p>
    <w:p>
      <w:r>
        <w:t>Le calcul servant à déterminer le degré d'invalidité se présente comme suit : E x IE + ([EZ - E] x H) EZ</w:t>
      </w:r>
    </w:p>
    <w:p>
      <w:r>
        <w:t>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Ce qui donne en l'espèce 29%. Force dès lors est de constater que ce degré d'invalidité n'est pas suffisant pour justifier l'octroi d'une rente d'invalidité.</w:t>
      </w:r>
    </w:p>
    <w:p>
      <w:r>
        <w:rPr>
          <w:b/>
        </w:rPr>
        <w:t>E. 18</w:t>
      </w:r>
    </w:p>
    <w:p>
      <w:r>
        <w:t>C'est également à juste titre que l'OCAI a nié le droit de l'assurée à une allocation pour impotent, au motif qu'elle n'avait besoin de l'aide d'autrui que pour accomplir un seul acte ordinaire de la vie. Les art. 42 al. 2 LAI et 37 al 3 RAI prévoient en effet que : "l’impotence peut être grave, moyenne ou faible", et que :</w:t>
      </w:r>
    </w:p>
    <w:p>
      <w:r>
        <w:t>"l’impotence est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 38".</w:t>
      </w:r>
    </w:p>
    <w:p>
      <w:r>
        <w:rPr>
          <w:b/>
        </w:rPr>
        <w:t>E. 19</w:t>
      </w:r>
    </w:p>
    <w:p>
      <w:r>
        <w:t>Aussi le recours est-il rejeté.</w:t>
      </w:r>
    </w:p>
    <w:p>
      <w:r>
        <w:t>A/1050/2008 - 13/13 -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