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ATAS/970/2020 vom 11. September 2020</w:t>
      </w:r>
    </w:p>
    <w:p>
      <w:r>
        <w:t>GE Cour de justice, 2020-09-11, FR</w:t>
      </w:r>
    </w:p>
    <w:p>
      <w:r>
        <w:rPr>
          <w:b/>
        </w:rPr>
        <w:t xml:space="preserve">Quelle: </w:t>
      </w:r>
      <w:r>
        <w:t>https://mcp.opencaselaw.ch/entscheid/ge_gerichte_ATAS_970_2020</w:t>
      </w:r>
    </w:p>
    <w:p>
      <w:r>
        <w:t>FR: GE_GERICHTE ATAS/970/2020 du 11 septembre 2020</w:t>
      </w:r>
    </w:p>
    <w:p>
      <w:r>
        <w:t>IT: GE_GERICHTE ATAS/970/2020 del 11 settembre 2020</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56ss LPGA et 62ss LPA).</w:t>
      </w:r>
    </w:p>
    <w:p>
      <w:r>
        <w:rPr>
          <w:b/>
        </w:rPr>
        <w:t>E. 4</w:t>
      </w:r>
    </w:p>
    <w:p>
      <w:r>
        <w:t>Le litige porte sur le degré de la rente d’invalidité allouée, sur le taux de l’indemnité pour atteinte à l’intégrité et, enfin, sur le bien-fondé du refus de l’intimée de prendre en charge les frais d’un fauteuil roulant.</w:t>
      </w:r>
    </w:p>
    <w:p>
      <w:r>
        <w:t>A/3350/2019 - 13/25 -</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6</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w:t>
      </w:r>
    </w:p>
    <w:p>
      <w:r>
        <w:t>A/3350/2019 - 14/25 -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7</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w:t>
      </w:r>
    </w:p>
    <w:p>
      <w:r>
        <w:t>A/3350/2019 - 15/25 -</w:t>
      </w:r>
    </w:p>
    <w:p>
      <w:r>
        <w:rPr>
          <w:b/>
        </w:rPr>
        <w:t>E. 8</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w:t>
      </w:r>
    </w:p>
    <w:p>
      <w:r>
        <w:t>A/3350/2019 - 16/25 -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w:t>
      </w:r>
    </w:p>
    <w:p>
      <w:r>
        <w:t>A/3350/2019 - 17/25 -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w:t>
      </w:r>
    </w:p>
    <w:p>
      <w:r>
        <w:t>A/3350/2019 - 18/25 - selon la procédure de l'art. 44 LPGA ou une expertise judiciaire (ATF 135 V 465 consid. 4; arrêt du Tribunal fédéral 9C_301/2013 du 4 septembre 2013 consid. 3).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10</w:t>
      </w:r>
    </w:p>
    <w:p>
      <w:r>
        <w:t>En l’espèce, il convient, avant d’examiner le degré d’invalidité retenu, de qualifier la gravité de l’accident survenu et de se prononcer sur l’existence d’un lien de causalité entre celui-ci et les troubles encore présents au-delà du 1er novembre 2018, puisqu’il apparaît que les troubles psychiques sont désormais au premier plan. La question de l’existence d’un lien de causalité naturelle revêt une moindre importance, celle d’un lien de causalité adéquate devant être niée pour les raisons qui suivent. L’intimée a considéré que le sinistre du 15 avril 2016 devait être rangé dans la catégorie des accidents de gravité moyenne à la limite de la banalité. Le recourant soutient pour sa part qu’il s’agit d’un accident de gravité moyenne. On rappellera que c’est en se déplaçant avec son véhicule à très faible vitesse (10-</w:t>
      </w:r>
    </w:p>
    <w:p>
      <w:r>
        <w:rPr>
          <w:b/>
        </w:rPr>
        <w:t>E. 15</w:t>
      </w:r>
    </w:p>
    <w:p>
      <w:r>
        <w:t>km./h. selon ses propres dires), que le recourant a heurté un réverbère, en effectuant une manœuvre et hors de toute circulation, de sorte que la Cour de céans ne peut que se ranger à la qualification retenue par l’intimée, soit celle d’accident moyennement grave à la limite de la banalité.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(arrêts du Tribunal fédéral 8C_/766/2017 du 30 juillet 2018 consid. 6.3.1.1 et 8C_96/2017 du 24 janvier 2018 consid. 5.1).</w:t>
      </w:r>
    </w:p>
    <w:p>
      <w:r>
        <w:t>A/3350/2019 - 19/25 - En l’occurrence, ce premier critère n’est pas réalisé, ce que le recourant admet au demeurant. Il soutient en revanche que celui ayant trait à la gravité ou à la nature particulière des lésions physiques - compte tenu notamment du fait qu'elles sont propres, selon l'expérience, à entraîner des troubles psychiques - le serait, ce que conteste l’intimée. A cet égard, le recourant fait valoir qu’il a souffert d’une myélopathie cervicale, maladie grave de la moelle épinière en relation avec l’accident, ce à quoi l’intimée répond que les documents radiologiques n’ont pas mis en évidence de lésion traumatique, mais simplement des troubles d’étiologie dégénérative décompensés lors du choc. S'agissant du degré de gravité de la lésion subie, il convient de souligner que ce n’est que dans certaines circonstances particulières que le Tribunal fédéral a reconnu qu'une atteinte à la colonne vertébrale constitue une lésion grave propre à entraîner des répercussions sur l'état de santé psychique de la personne qui en a été victime (cf. ATF 140 V 356 consid. 5.5.1 p. 261 et les arrêts cités). Dans un cas, l'atteinte en cause avait nécessité trois opérations chirurgicales; dans l'autre, il s'agissait d'une fracture instable de la colonne vertébrale. Or, en l’occurrence, selon les constatations médicales au dossier, il a suffi d’une intervention de décompression réalisée en juillet 2016, pour remédier à la myélopathie évoquée par le recourant. Au vu de la jurisprudence, on ne saurait ainsi la qualifier de lésion grave (arrêt 8C_277/2019 du 22 janvier 2020 consid. 5.4). Qui plus est, les conséquences consistent essentiellement en des cervico-brachialgies, lésions physiques qui ne sont pas propres, selon l'expérience, à entraîner des troubles psychiques (8C_383/2013 du 1er avril 2014 consid 7.2.3 et réf. citées). On ajoutera que le fait que des séquelles accidentelles imposent à un assuré de changer de profession est insuffisant pour retenir ce critère, qui implique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cf. en ce sens Erwin Murer/Hans Kind/Hans Ueli Binder : Kriterien zur Beurteilung des adäquaten Kausalzusammenhanges bei erlebnisreaktiven [psychogenen] Störungen nach Unfällen, in SZS 1993, p. 142). Ce second critère ne peut donc être considéré comme rempli lui non plus.</w:t>
      </w:r>
    </w:p>
    <w:p>
      <w:r>
        <w:t>S’agissant du critère relatif à la durée anormalement longue du traitement médical, le recourant rappelle que le traitement débuté en avril 2016 se poursuit encore. L’intimée relève quant à elle qu’abstraction faite de l’intervention du 28 juillet 2016, seul un traitement à visée conservatrice comprenant de la médication a été prescrit. C’est le lieu de rappeler que, pour l'examen de ce critère, il ne faut pas uniquement se fonder sur l'aspect temporel; sont également à prendre en considération la nature</w:t>
      </w:r>
    </w:p>
    <w:p>
      <w:r>
        <w:t>A/3350/2019 - 20/25 - et l'intensité du traitement, et si l'on peut en attendre une amélioration de l'état de santé de l'assuré (arrêts 8C_361/2007 du 6 décembre 2007 consid. 5.3, U 92/06 du 4 avril 2007 consid. 4.5 et les références). La prise de médicaments antalgiques et la prescription de traitements par manipulations, même pendant une certaine durée, ne suffisent pas à fonder ce critère (arrêts 8C_804/2014 du 16 novembre 2015 consid. 5.2.2 ; 8C_361/2007 consid. 5.3, U 380/04 du 15 mars 2004 consid. 5.2.4 in RAMA 2005 n° U 549 p. 239). Qui plus est, l’examen des critères applicables en cas de troubles psychiques consécutifs à un accident se fait en excluant les aspects psychiques. En l’espèce, ce critère ne peut non plus être considéré comme rempli dès lors que, comme l’a relevé l’intimée, hormis l’intervention pratiquée en 2016, seul un traitement à visée conservatrice a été prescrit s’agissant des atteintes somatiques, les lésions bilatérales des nerfs ulnaires ne pouvant être imputées à l’accident (cf. avis non contesté du Dr D______ du 14 septembre 2017). En ce qui concerne l'intensité des douleurs, il faut que des douleurs importantes aient existé sans interruption notable durant tout le temps écoulé entre l'accident et la clôture du cas (art. 19 al. 1 LAA). L'intensité des douleurs est examinée au regard de leur crédibilité, ainsi que de l'empêchement qu'elles entraînent dans la vie quotidienne (ATF 134 V 109 consid. 10.2.4 p. 128). Or, en l’occurrence, il y a eu une période d'amélioration significative dans les mois qui ont suivi l'accident, documentée lors du premier séjour du recourant à la CRR en 2017. Pour cette raison déjà, ce critère doit être considéré comme non rempli. S’y ajoute le fait que la surcharge psychique a exercé assez tôt une influence majeure sur le tableau algique, en particulier sur son ampleur. Or, la jurisprudence considère que les critères objectifs définis par la jurisprudence, en particulier celui des douleurs physiques persistantes, doivent être examinés en faisant abstraction des éléments psychiques (cf. ATF 115 V 133 consid. 6c/aa p. 140 et 403 consid. 5c/aa p. 409). Dans ces conditions, on ne voit pas que les douleurs physiques se soient manifestées d'une manière particulièrement marquante en l'occurrence et le critère des douleurs physiques persistantes n'apparaît dès lors pas réalisé. Le recourant convient qu’aucune erreur dans le traitement médical n’a été commise qui aurait entraîné une aggravation notable des séquelles de l’accident. Le fait que le pronostic ait été d’abord favorable, avant que la situation ne se dégrade ne saurait suffire à considérer que des difficultés sont apparues au cours de la guérison, le pronostic défavorable apparaissant avant tout comme la conséquence de la surcharge psychique, revenue au premier plan et dont il convient de ne pas tenir compte à ce stade. Quant au critère relatif au degré et à la durée de l’incapacité de travail due aux lésions physiques, il convient de rappeler qu’il ne se mesure pas uniquement au regard de la profession antérieurement exercée par l'assuré. Ainsi, il n'est pas rempli lorsque l'assuré est apte, même après un certain laps de temps, à exercer à plein</w:t>
      </w:r>
    </w:p>
    <w:p>
      <w:r>
        <w:t>A/3350/2019 - 21/25 - temps une activité adaptée aux séquelles accidentelles qu'il présente (arrêts du Tribunal fédéral 8C_766/2017 du 30 juillet 2018 consid. 6.3.3 et 8C_208/2016 du 9 mars 2017 consid. 4.1.2). Tel est précisément le cas en l’occurrence, puisqu’à la sortie de la CRR, en juin 2017, une reprise du travail était déjà envisagée et que, par la suite, l’incapacité durable n’a plus été justifiée que par des raisons psychiques. Il résulte de ce qui précède que les critères n’étant pas remplis, c’est à juste titre que l’intimée a nié l’existence d’un lien de causalité adéquate entre l’accident et les problèmes psychiques invalidants de l’assuré. Dès lors, la perte de gain subie et l’atteinte à l’intégrité devront être examinées sur la base des seules séquelles physiques. 11. S’agissant de la capacité de travail de l’assuré, l’intimée s’est référée aux conclusions de la CRR à l’issue de son deuxième séjour et a retenu comme limitations fonctionnelles définitives le maintien prolongé d’une position statique, le port de charges supérieures à 5 kg et les activités impliquant des mouvements du rachis cervical, conclusions corroborées par le Dr J______ qui a estimé que, dans une activité respectant les dites limitations, on pouvait exiger de l’assuré qu’il travaillât à plein temps et sans baisse de rendement. Le rapport du Dr N______ produit par le recourant ne permet pas de s’écarter de cette position dans la mesure où ce médecin reconnaît l’absence d’atteinte neurologique significative. L’IRM pratiquée en novembre 2019 montre des troubles dégénératifs préexistants à l’accident. Quant au fait qu’il existe des différences entre les avis exprimés par les Drs L______ et Dr K______, peu importe finalement, puisque le lien de causalité adéquat a été nié entre l’accident et les atteintes psychologiques et que celles-ci n’ont donc pas à être prises en considération. Pour la même raison, des investigations complémentaires sur ce plan sont dénuées de pertinence. Le calcul du degré d’invalidité n’étant pas contesté en soi, il convient de confirmer le taux de 34% retenu. Le recours est rejeté sur ce point. 12. S’agissant de l’indemnité pour atteinte à l’intégrité, le recourant sollicite son augmentation à 50%.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w:t>
      </w:r>
    </w:p>
    <w:p>
      <w:r>
        <w:t>A/3350/2019 - 22/25 -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ATF 113 V 218 consid. 4b et les références; voir aussi ATF 125 II 169 consid. 2d). b. 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w:t>
      </w:r>
    </w:p>
    <w:p>
      <w:r>
        <w:t>A/3350/2019 - 23/25 -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ATF 113 V 218 consid. 4b; RAMA 2004 p. 415; arrêt du Tribunal fédéral des assurances U 134/03 du 12 janvier 2004 consid. 5.2). c.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13. En l’espèce, le recourant soutient qu’il est « très gravement atteint au niveau de sa colonne cervicale et qu’en découlent des limitations fonctionnelles importantes », ce serait donc un taux de 50% qui aurait dû être appliqué. Force est de constater que le recourant se limite à substituer sa propre évaluation à celle du Dr J______, sans s’appuyer sur le moindre avis médical. On rappellera qu’en fait d’atteinte « très grave », il présente des troubles dégénératifs – déjà présents avant l’accident - entrainant les limitations habituelles destinées à préserver le rachis. Là encore, c’est à juste titre que l’intimée a suivi l’avis du Dr J______. Ce grief est également écarté.</w:t>
      </w:r>
    </w:p>
    <w:p>
      <w:r>
        <w:t>A/3350/2019 - 24/25 - 14. Enfin, le recourant conteste le refus de l’intimée de prendre en charge les frais d’un système de propulsion électrique devisé à CHF 5'850.-. a. En vertu de l’art. 11 al. 1 LAA, l’assuré a droit aux moyens auxiliaires destinés à compenser un dommage corporel ou la perte d’une fonction. Le Conseil fédéral établit la liste de ces moyens auxiliaires. Le second alinéa de cette disposition précise que les moyens auxiliaires sont d’un modèle simple et adéquat. L’art. 1er de l’ordonnance sur la remise de moyens auxiliaires par l'assurance- accidents du 18 octobre 1984 (OMAA - RS 832.205.12) prévoit que l’assuré a droit aux moyens auxiliaires figurant sur la liste annexée, dans la mesure où ceux-ci compensent un dommage corporel ou la perte d’une fonction qui résulte d’un accident ou d’une maladie professionnelle. Le droit s’étend aux moyens auxiliaires nécessaires et adaptés à l’atteinte à la santé, d’un modèle simple et adéquat, ainsi qu’aux accessoires indispensables et aux adaptations qu’exige l’atteinte à la santé. Le nombre et les caractéristiques des moyens auxiliaires doivent répondre tant aux exigences de la vie privée qu’à celles de la vie professionnelle (al. 2). L’annexe à l’ordonnance, en son chiffre 9.02 permet l’octroi de fauteuils roulants à moteur électrique lorsque des assurés incapables de marcher ne peuvent utiliser un fauteuil roulant usuel par suite de paralysies ou d’autres infirmités des membres supérieurs et ne peuvent se déplacer de façon indépendante qu’en fauteuil roulant mû électriquement. Tel n’est manifestement pas le cas du recourant qui ne saurait être assimilé à une personne souffrant de paralysie, étant rappelé que, lors du premier séjour à la CRR, aucune limitation fonctionnelle au niveau des membres inférieurs n’a été constatée et qu’à l’issue du deuxième séjour à la CRR, l’assuré ne se plaignait que de douleurs diffuses au genou. Il ne résulte pas des avis médicaux au dossier que l’assuré serait dans l’incapacité ou l’impossibilité de se déplacer. L’avis de la Dresse I______, en particulier, ne fait mention que de lâchages occasionnels des membres inférieurs, auxquels on peut raisonnablement admettre que l’utilisation de cannes permettrait de parer. Au surplus, à l’instar de l’intimée, on rappellera qu’en vertu du principe de proportionnalité, un rapport raisonnable doit exister entre le but visé, le bénéfice supposé apporté par le moyen auxiliaire en question et le coût de celui-ci. En l’occurrence, les conditions requises pour l’octroi d’un fauteuil roulant électrique ne sont pas remplies. Eu égard aux considérations qui précèdent, le recours est rejeté.</w:t>
      </w:r>
    </w:p>
    <w:p>
      <w:r>
        <w:t>A/3350/2019 - 25/25 -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