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ATAS/970/2019 vom 24. Oktober 2019</w:t>
      </w:r>
    </w:p>
    <w:p>
      <w:r>
        <w:t>GE Cour de justice, 2019-10-24, FR</w:t>
      </w:r>
    </w:p>
    <w:p>
      <w:r>
        <w:rPr>
          <w:b/>
        </w:rPr>
        <w:t xml:space="preserve">Quelle: </w:t>
      </w:r>
      <w:r>
        <w:t>https://mcp.opencaselaw.ch/entscheid/ge_gerichte_ATAS_970_2019</w:t>
      </w:r>
    </w:p>
    <w:p>
      <w:r>
        <w:t>FR: GE_GERICHTE ATAS/970/2019 du 24 octobre 2019</w:t>
      </w:r>
    </w:p>
    <w:p>
      <w:r>
        <w:t>IT: GE_GERICHTE ATAS/970/2019 del 24 ottobre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30 jours (art. 60 al. 1 LPGA). Si le délai, compté par jours ou par mois, doit être communiqué aux parties, il commence à courir le lendemain de la communication (art. 38 al. 1 LPGA). Le recours, interjeté le 31 octobre 2018 dans la forme prescrite par la loi contre la décision du 27 septembre 2018, notifiée le 4 octobre 2018, est recevable.</w:t>
      </w:r>
    </w:p>
    <w:p>
      <w:r>
        <w:rPr>
          <w:b/>
        </w:rPr>
        <w:t>E. 3</w:t>
      </w:r>
    </w:p>
    <w:p>
      <w:r>
        <w:t>Le litige porte sur le bien-fondé de la décision de l’intimé de supprimer la rente du recourant pour défaut de collaboration.</w:t>
      </w:r>
    </w:p>
    <w:p>
      <w:r>
        <w:rPr>
          <w:b/>
        </w:rPr>
        <w:t>E. 4</w:t>
      </w:r>
    </w:p>
    <w:p>
      <w:r>
        <w:t>a. Aux termes de l'art. 17 LPGA, si le taux d'invalidité du bénéficiaire de rente subit une modification notable, la rente est, d'office ou sur demande, révisée pour l'avenir, à savoir augmentée ou réduite en conséquence, ou encore supprimée. b. Tout changement important des circonstances propre à influencer le degré d'invalidité, et donc le droit à la rente, peut motiver une révision selon l'art. 17 LPGA. En revanche, une simple appréciation différente d'un état de fait, qui, pour l'essentiel, est demeuré inchangé n'appelle pas à une révision au sens de l'art. 17 LPGA (ATF 112 V 371 consid. 2b ; ATF 112 V 387 consid. 1b).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 En outre, lorsque les faits déterminants pour le droit à la rente se sont modifiés au point de faire apparaître un changement important de l'état de santé motivant une révision, le degré d'invalidité doit être fixé à nouveau sur la base d'un état de fait correct et complet, sans référence à des évaluations d'invalidité antérieures (ATF 141 V 9 consid. 2.3 ; ATF 117 V 198 consid. 4b ; arrêt du Tribunal fédéral 9C_378/2014 du 21 octobre 2014 consid. 4.2 ; arrêt du Tribunal fédéral 9C_226/2013 du 4 septembre 2013 ; arrêt du Tribunal fédéral 8C_562/2014 du 29 septembre 2015).</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w:t>
      </w:r>
    </w:p>
    <w:p>
      <w:r>
        <w:t>A/3826/2018 - 13/20 -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a.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aux troubles dépressifs de degré léger ou moyen (ATF 143 V 409 consid. 4.5.1). En effet, celles-ci ne peuvent en principe être déterminées ou prouvées sur la base de critères objectifs que de manière limitée. b. Selon la jurisprudence applicable jusqu’ici, un syndrome de dépendance primaire à des substances psychotropes (dont l’alcool) ne pouvait conduire à une invalidité au sens de la loi que s’il engendrait une maladie ou occasionnait un accident ou s’il résultait lui-même d’une atteinte à la santé physique ou psychique ayant valeur de maladie. Cette jurisprudence reposait sur la prémisse que la personne souffrant de dépendance avait provoqué elle-même fautivement cet état et qu'elle aurait pu, en faisant preuve de diligence, se rendre compte suffisamment tôt des conséquences néfastes de son addiction et effectuer un sevrage ou à tout le moins entreprendre une thérapie (cf. notamment ATF 124 V 265 consid. 3c). Dans un arrêt de principe du 11 juillet 2019 (arrêt 9C_724/2018), le Tribunal fédéral est parvenu à la conclusion que sa pratique en matière de syndrome de dépendance ne pouvait plus être maintenue. D’un point de vue médical, les syndromes de dépendance et les troubles liés à la consommation de substances diagnostiqués lege artis par un spécialiste doivent également être considérés comme des atteintes (psychiques) à la santé significatives au sens du droit de l’assurance invalidité (consid. 5.3.3 et 6).</w:t>
      </w:r>
    </w:p>
    <w:p>
      <w:r>
        <w:t>A/3826/2018 - 14/20 - Par conséquent, il s’agit, comme pour tous les autres troubles psychiques, de déterminer selon une grille d’évaluation normative et structurée (à cet égard, ATF 141 V 281) si, et le cas échéant, dans quelle mesure un syndrome de dépendance diagnostiqué par un spécialiste influence dans le cas concret la capacité de travail de l’assuré. La gravité de la dépendance dans un cas particulier peut et doit être prise en compte dans la procédure de preuve structurée (consid. 6.3). Ceci est d'autant plus important que dans le cas des troubles de la dépendance – comme dans celui d'autres troubles psychiques – il y a souvent un mélange de troubles ayant valeur de maladie ainsi que de facteurs psychosociaux et socio-culturels. L’obligation de diminuer le dommage (art. 7 LAI) s'applique également en cas de syndrome de dépendance, de sorte que l’assuré peut être tenu de participer activement à un traitement médical raisonnablement exigible (art. 7 al. 2 let. d LAI). S’il ne respecte pas son obligation de diminuer le dommage, mais qu’il maintient délibérément son état pathologique, l’art. 7b al. 1 LAI en liaison avec l'art. 21 al. 4 LPGA permet le refus ou la réduction des prestations (consid 5.3.1).</w:t>
      </w:r>
    </w:p>
    <w:p>
      <w:r>
        <w:rPr>
          <w:b/>
        </w:rPr>
        <w:t>E. 7</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 ATF 114 V 310 consid. 3c ; arrêt du Tribunal fédéral 8C_442/2013 du 4 juillet 2014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w:t>
      </w:r>
    </w:p>
    <w:p>
      <w:r>
        <w:t>A/3826/2018 - 15/20 -</w:t>
      </w:r>
    </w:p>
    <w:p>
      <w:r>
        <w:rPr>
          <w:b/>
        </w:rPr>
        <w:t>E. 8</w:t>
      </w:r>
    </w:p>
    <w:p>
      <w:r>
        <w:t>a. Selon l'art. 28 al. 2 LPGA, celui qui fait valoir son droit à des prestations doit fournir gratuitement tous les renseignements nécessaires pour établir ce droit et fixer les prestations dues. Conformément à l'art. 31 al. 1 LPGA, l'ayant droit, ses proches ou les tiers auxquels une prestation est versée, sont tenus de communiquer à l'assureur ou, selon le cas, à l'organe compétent, toute modification importante des circonstances déterminantes pour l'octroi d'une prestation. Aux termes de l'art. 43 LPGA, l'assureur examine les demandes, prend d'office les mesures d'instruction nécessaires et recueille les renseignements dont il a besoin (al. 1, 1ère phrase).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L'art. 7b al. 1 LAI prévoit que les prestations peuvent être réduites ou refusées conformément à l'art. 21 al. 4 LPGA si l'assuré a manqué aux obligations prévues à l'art. 7 de la présente loi ou à l'art. 43 al. 2 LPGA. b. Selon la jurisprudence, l'application de l'art. 43 al. 3 LPGA dans un cas où des prestations sont en cours et où l'assuré qui les perçoit refuse de manière inexcusable de se conformer à son devoir de renseigner ou de collaborer à l'instruction de la procédure de révision, empêchant par là que l'organe d'exécution de l'assurance- invalidité établisse les faits pertinents, suppose que le fardeau de la preuve soit renversé. En principe, il incombe bien à l'administration d'établir une modification notable des circonstances influençant le degré d'invalidité de l'assuré, si elle entend réduire ou supprimer la rente. Toutefois, lorsque l'assuré refuse de façon inexcusable de la renseigner, il lui est impossible de démontrer les faits conduisant à une modification du taux d'invalidité. Dans un tel cas, lorsque l'assuré empêche fautivement que l'office AI administre les preuves nécessaires, il convient d'admettre un renversement du fardeau de la preuve (cf. consid. 2.2 non publié de l'ATF 129 III 181). Il appartient alors à l'assuré d'établir que son état de santé, ou d'autres circonstances déterminantes, n'ont pas subi de modifications susceptibles de changer le taux d'invalidité qu'il présente (arrêt du Tribunal fédéral 9C_961/2008 du 30 novembre 2009 consid. 6.3.3, in SVR 2010 IV n° 30 p. 94 ; arrêt du Tribunal fédéral 9C_372/2015 du 19 février 2016). L’office AI peut suspendre les prestations en cas de violation de l’obligation de collaborer. Une telle sanction suppose toutefois que les informations demandées en vain soient nécessaires pour clarifier la situation ou pour fixer les prestations, qu’elles ne soient pas accessibles autrement sans frais disproportionnés et que les</w:t>
      </w:r>
    </w:p>
    <w:p>
      <w:r>
        <w:t>A/3826/2018 - 16/20 - renseignements refusés en violation fautive de l’obligation de collaborer soient pertinents pour fixer le taux d’invalidité de l’assuré (arrêt du Tribunal fédéral 9C_345/2007 du 26 mars 2008 consid. 4 ; circulaire sur l’invalidité et l’impotence dans l’assurance invalidité, valable dès le 1er janvier 2015 (CIIAI), ch. 7014). Si l’office AI cesse de verser des prestations parce que l’assuré manque à son obligation de collaborer à une procédure de révision, la procédure est reprise par la suite en tant que procédure de révision si l’assuré accepte de nouveau de remplir cette obligation (arrêt du Tribunal fédéral 8C_724/2015 du 29 février 2016 consid. 4 ; CIIAI ch. 7015). c. Dans un arrêt rendu le 6 juillet 2017 (ATAS/617/2017), la chambre de céans a considéré que l’intimé ne pouvait supprimer la rente, mais la suspendre, ce qui « aurait permis, d’une part, à la recourante de réagir en expliquant les raisons de son absence au rendez-vous et en tentant d’amener la preuve du fait que son état de santé ne s’était pas amélioré, d’autre part, à l’intimé d’instruire le dossier en questionnant la recourante sur la raison de son absence au rendez-vous précité mais aussi sur son suivi psychiatrique et d’obtenir un rapport médical. Enfin, un nouveau rendez-vous pour une expertise médicale aurait pu être fixé à la recourante, en parallèle de la mesure de suspension de sa rente d’invalidité ». La chambre de céans a en conséquence annulé dans ce cas la décision de suppression de la rente, jugée disproportionnée, pour la remplacer par une décision de suspension, et renvoyé la cause à l’intimé pour instruction complémentaire et nouvelle décision.</w:t>
      </w:r>
    </w:p>
    <w:p>
      <w:r>
        <w:rPr>
          <w:b/>
        </w:rPr>
        <w:t>E. 9</w:t>
      </w:r>
    </w:p>
    <w:p>
      <w:r>
        <w:t>a. En l’espèce, la Cour de céans rappelle tout d’abord que l’intimé a accordé au recourant, par décision du 10 mars 2016, une rente entière dès le 1er mars 2014 compte tenu d’un degré d’invalidité de 75%. Il avait alors retenu, sur la base des avis du SMR des 19 octobre et 17 décembre 2015, eux-mêmes fondés sur le rapport d’expertise du 6 juillet 2015 et son complément du 12 septembre 2015, que le recourant souffrait d’un trouble dépressif récurrent d’intensité légère à modérée, d’une personnalité émotionnellement labile de type borderline, de troubles mentaux et du comportement liés à des syndromes de dépendance à l’alcool, au cannabis et aux opiacés. Les limitations fonctionnelles consistaient en de la fatigue, des troubles de l’attention et de la concentration, et des difficultés interpersonnelles. L’incapacité de travail était de 75%. b. La révision de la rente a été initiée au début de l’année 2017 conformément à la proposition du SMR, dès lors que les experts mandatés en 2015 avaient indiqué qu’une réduction des consommations d’alcool et de cannabis améliorerait les capacités attentionnelles et de concentration, et qu’une amélioration thymique permettrait d’acquérir plus de régularité dans la discipline exercée. Les experts avaient également exposé qu’il était possible que les dépendances aient causé des séquelles irréversibles, mais que de telles séquelles ne pourraient être objectivables qu’après un sevrage de plusieurs mois permettant un nouveau bilan neuropsychologique.</w:t>
      </w:r>
    </w:p>
    <w:p>
      <w:r>
        <w:t>A/3826/2018 - 17/20 - Il s’agissait donc pour l’intimé de déterminer si un changement important des circonstances, propre à influencer le degré d'invalidité du recourant, était survenu depuis le prononcé de sa décision initiale.</w:t>
      </w:r>
    </w:p>
    <w:p>
      <w:r>
        <w:rPr>
          <w:b/>
        </w:rPr>
        <w:t>E. 10</w:t>
      </w:r>
    </w:p>
    <w:p>
      <w:r>
        <w:t>a. Dans le cadre de la procédure de révision, l’intimé a reçu un rapport du 28 mars 2017 de la Dresse L______. Ce document comporte plusieurs contradictions. Ainsi, il ne mentionne aucun diagnostic ayant des répercussions sur la capacité de travail, mais retient qu’une activité lucrative n’est pas exigible et qu’on ne peut pas s’attendre à une amélioration de la capacité de travail. Cette appréciation présuppose en outre une aggravation de la situation suite à la décision initiale du 10 mars 2016 puisque cette dernière concluait à une capacité de travail de 25%. Or, la Dresse L______ a indiqué que le recourant était « stable », sans allusion aucune à une dégradation de l’état de santé. De surcroît, ce rapport semble reprendre telle quelle l’anamnèse du Dr B______ du</w:t>
      </w:r>
    </w:p>
    <w:p>
      <w:r>
        <w:rPr>
          <w:b/>
        </w:rPr>
        <w:t>E. 11</w:t>
      </w:r>
    </w:p>
    <w:p>
      <w:r>
        <w:t>a. Le recourant a dûment été convoqué par l’expert le 5 juin 2018 pour deux entretiens, le premier fixé au 3 août 2018 et le second au 25 septembre 2018. Ces missives ont été adressées au service de protection de l’adulte, dès lors que l’intéressé fait l’objet d’une curatelle de portée générale.</w:t>
      </w:r>
    </w:p>
    <w:p>
      <w:r>
        <w:t>A/3826/2018 - 18/20 - Le recourant ne s’est pas présenté au premier rendez-vous, si bien qu’il a été sommé de se conformer à son obligation de collaborer. Il ne s’est toutefois pas rendu non plus à la seconde convocation. Le service de protection de l’adulte n’a pas justifié ou tenté d’expliquer l’absence de l’intéressé à ces deux entretiens, quand bien même l’intimé a accordé au recourant un délai au 21 août 2018 pour lui fournir une explication quant à son absence. Ce n’est qu’au stade du recours qu’il a fait valoir un empêchement en raison des troubles psychiques et du comportement. Il convient cependant de rappeler que l’instruction médicale menée par l’intimé suite à la première demande de prestations n’avait mis en évidence aucune incapacité à s’acquitter de tâches administratives et que le recourant s’était rendu, certes après plusieurs relances, aux entretiens. Une sommation n’avait alors pas été nécessaire. Aucune pièce du dossier ne fait état d’une aggravation de l’état de santé psychique du recourant depuis l’expertise de 2015 qui permettrait de penser qu’il ne serait plus apte à répondre à une convocation médicale. b. Par conséquent, l’intimé était en droit de considérer que le recourant refusait de se conformer à son obligation de collaborer à l’instruction de la procédure de révision et ce, de manière inexcusable.</w:t>
      </w:r>
    </w:p>
    <w:p>
      <w:r>
        <w:rPr>
          <w:b/>
        </w:rPr>
        <w:t>E. 12</w:t>
      </w:r>
    </w:p>
    <w:p>
      <w:r>
        <w:t>Il convient à présent d’examiner si l’intimé était fondé à supprimer la rente d’invalidité du recourant. a. La Cour de céans rappelle que l'application de l'art. 43 al. 3 LPGA, dans un cas où des prestations sont en cours et où l'assuré qui les perçoit refuse de manière inexcusable de se conformer à son devoir de renseigner ou de collaborer à l'instruction de la procédure de révision, empêchant par là que l'organe d'exécution de l'assurance-invalidité établisse les faits pertinents, suppose que le fardeau de la preuve soit renversé. En l’occurrence, le recourant, qui a manqué de manière inexcusable à son devoir de collaboration, a toutefois produit le rapport du 9 février 2018 de la Dresse N______. Ce document confirme les diagnostics retenus en 2015, en y ajoutant celui de troubles mentaux et du comportement liés à l’utilisation de sédatifs et d’hypnotiques, et mentionne que le tableau clinique est stationnaire. L’intéressé a donc rendu vraisemblable que son état de santé ne s’était pas amélioré depuis la décision initiale. b. L’intimé ne pouvait donc pas supprimer la rente du recourant, mais il devait, conformément au principe de proportionnalité, suspendre ses prestations jusqu'à ce que le recourant se déclare prêt à se soumettre sans réserve à l'expertise ordonnée par une décision entrée en force. En effet, en raison du refus du recourant de coopérer pendant la période de versement de prestations, l’intimé aurait dû suspendre ces dernières par mesure de précaution puisqu’une nouvelle évaluation psychique était nécessaire pour établir les atteintes à la santé, les limitations fonctionnelles et la capacité de travail résiduelle du recourant.</w:t>
      </w:r>
    </w:p>
    <w:p>
      <w:r>
        <w:t>A/3826/2018 - 19/20 - Eu égard aux considérations qui précèdent, le recours est partiellement admis et la décision litigieuse réformée, en ce sens que la suppression de la rente d’invalidité du recourant est remplacée par la suspension de celle-ci et la cause renvoyée à l’intimé pour expertise et nouvelle décision au sens des considérants. Le recourant, représenté par le service de protection de l’adulte, n’a pas droit à des dépens. Étant donné que, depuis le 1er juillet 2006, la procédure n'est plus gratuite (art. 69 al. 1bis LAI), au vu du sort du recours, il y a lieu de condamner l'intimé au paiement d'un émolument de CHF 200.-.</w:t>
      </w:r>
    </w:p>
    <w:p>
      <w:r>
        <w:t>A/3826/2018 - 20/20 -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