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ATAS/970/2013 vom 1. Oktober 2013</w:t>
      </w:r>
    </w:p>
    <w:p>
      <w:r>
        <w:t>GE Cour de justice, 2013-10-01, FR</w:t>
      </w:r>
    </w:p>
    <w:p>
      <w:r>
        <w:rPr>
          <w:b/>
        </w:rPr>
        <w:t xml:space="preserve">Quelle: </w:t>
      </w:r>
      <w:r>
        <w:t>https://mcp.opencaselaw.ch/entscheid/ge_gerichte_ATAS_970_2013</w:t>
      </w:r>
    </w:p>
    <w:p>
      <w:r>
        <w:t>FR: GE_GERICHTE ATAS/970/2013 du 1 octobre 2013</w:t>
      </w:r>
    </w:p>
    <w:p>
      <w:r>
        <w:t>IT: GE_GERICHTE ATAS/970/2013 del 1 ottobre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les recours sont recevables (art. 56ss LPGA).</w:t>
      </w:r>
    </w:p>
    <w:p>
      <w:r>
        <w:rPr>
          <w:b/>
        </w:rPr>
        <w:t>E. 3</w:t>
      </w:r>
    </w:p>
    <w:p>
      <w:r>
        <w:t>Le litige porte sur le droit de la Caisse de réclamer aux intéressés la réparation du dommage subi en raison du non-paiement des cotisations paritaires AVS/AI/APG/AC dues pour l'année 2007</w:t>
      </w:r>
    </w:p>
    <w:p>
      <w:r>
        <w:rPr>
          <w:b/>
        </w:rPr>
        <w:t>E. 4</w:t>
      </w:r>
    </w:p>
    <w:p>
      <w:r>
        <w:t>a) A teneur de l’art. 52 LAVS en vigueur dès le 1er janvier 2003 (introduit par le ch.</w:t>
      </w:r>
    </w:p>
    <w:p>
      <w:r>
        <w:rPr>
          <w:b/>
        </w:rPr>
        <w:t>E. 7</w:t>
      </w:r>
    </w:p>
    <w:p>
      <w:r>
        <w:t>La recourante a été inscrite au Registre du commerce en qualité d'administratrice de la société du 6 octobre 2003 au 29 avril 2009. Elle est partant organe de la société. De même en est-il du recourant, de février 2006 à juin 2008</w:t>
      </w:r>
    </w:p>
    <w:p>
      <w:r>
        <w:rPr>
          <w:b/>
        </w:rPr>
        <w:t>E. 8</w:t>
      </w:r>
    </w:p>
    <w:p>
      <w:r>
        <w:t>Il y a à ce stade lieu d'examiner si les recourants ont commis une faute qualifiée ou une négligence grave au sens de l’art. 52 al. 1 LAVS.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 ci intentionnellement ou du moins par négligence grave, dans la mesure où il n'existe pas d'indice faisant croire à la légitimité de son comportement ou à l'absence d'une faute (arrêt du TF du 28 juin 1982, in : RCC 1983 p. 101). De</w:t>
      </w:r>
    </w:p>
    <w:p>
      <w:r>
        <w:t>A/3696/2012 - 13/17 -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w:t>
      </w:r>
    </w:p>
    <w:p>
      <w:r>
        <w:t>A/3696/2012 - 14/17 -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9</w:t>
      </w:r>
    </w:p>
    <w:p>
      <w:r>
        <w:t>Les recourants contestent toute responsabilité dans le dommage subi par la Caisse.</w:t>
      </w:r>
    </w:p>
    <w:p>
      <w:r>
        <w:rPr>
          <w:b/>
        </w:rPr>
        <w:t>E. 10</w:t>
      </w:r>
    </w:p>
    <w:p>
      <w:r>
        <w:t>Le recourant a expliqué qu'il travaillait à plein temps en qualité de facteur et qu'il ne s'était jamais occupé des affaires de la société. Monsieur T__________ l'a confirmé, précisant que si M. V__________ et lui-même lui avait demandé d'accepter ce mandat, c'est parce qu'ils avaient besoin d'une personne suisse domiciliée en Suisse. Il a par ailleurs été établi que le recourant n'avait pas été rémunéré. Sa situation s'apparente ainsi à celle d'un" homme de paille" et c'est précisément en cela que réside sa faute, car celui qui se déclare prêt à assumer un mandat d'administrateur, tout en sachant qu'il ne pourra pas le remplir consciencieusement, viole son obligation de diligence (ATF 122 III 200 consid. 3b; RDAT 2003, II, p. 243 et sv. consid. 2.4). Il y a en effet lieu de rappeler que lorsque l'administrateur revêt cette qualité sans en assumer la fonction dans les faits, il méconnait tout simplement l'une des attributions intransmissibles et inaliénables que lui confère l'art. 716a al. 1 CO, soit l'exercice de la haute surveillance sur les personnes chargées de la gestion, pour s'assurer notamment que celles-ci observent la loi, les règlements et les instructions données.</w:t>
      </w:r>
    </w:p>
    <w:p>
      <w:r>
        <w:t>A/3696/2012 - 15/17 - Le recourant n'a à l'évidence pas compris les effets d'une inscription au Registre du Commerce en tant qu'administrateur d'une société. Il l'a du reste admis. Force est de conclure, au vu de la jurisprudence claire du Tribunal fédéral, qu'il a violé son devoir de diligence et que son inaction constitue une négligence grave au sens de l'art. 52 LAVS, de sorte que sa responsabilité est engagée elle aussi.</w:t>
      </w:r>
    </w:p>
    <w:p>
      <w:r>
        <w:rPr>
          <w:b/>
        </w:rPr>
        <w:t>E. 11</w:t>
      </w:r>
    </w:p>
    <w:p>
      <w:r>
        <w:t>La recourante, quant à elle, allègue n'être devenue administratrice de la société que pour rendre service et affirme n'avoir jamais participé à la gestion de la société puisqu'elle n'était qu'une simple employée. Il appert de la partie en fait qui précède qu'en réalité la recourante connaissait parfaitement la situation de la société. Elle a, dès son arrivée, constaté qu'il y avait du retard dans le paiement des charges sociales, puisque c'est elle-même qui recevait les rappels. Elle admet qu'elle s'occupait du paiement des factures, mais précise que c'est Monsieur T__________ qui décidait quelles factures il fallait payer en priorité et qu'il était du reste arrivé à celui-ci de faire passer des facture de fournisseurs avant des cotisations AVS-AI. Selon la recourante en effet," je ne pouvais rien faire car ce n'était pas moi qui décidais. M. T__________ me rappelait qu'il était actionnaire majoritaire. Je n'étais qu'actionnaire minoritaire et je pensais que je n'avais pas le même pouvoir d'administratrice. Je n'avais pas compris à l'époque la différence entre un administrateur et un actionnaire et je les confondais. La Cour de céans relève toutefois que la recourante fait également état de ce qu'elle souhaitait que les factures soient payées, dans la mesure du possible, alors que M. T__________ voulait récupérer les liquidités pour ses propres besoins et a à cet égard rapporté que celui-ci avait un jour voulu l'emmener à la banque pour retirer de l'argent, ce qu'elle avait refusé. Elle affirme qu'elle n'approuvait pas sa décision du fait qu'ils n'avaient pas assez de travail ni suffisamment de moyens pour payer un salaire supplémentaire et ajoute que "ces discussions sur la répartition des liquidités se faisaient entre M. T__________ et moi-même". Ces déclarations, au demeurant confirmées par Monsieur T__________, prouvent qu'en réalité la recourante gérait la société aux côtés de ce dernier. Il y avait certes parfois désaccord entre eux deux - le fait même qu'il puisse y avoir désaccord suffit à démontrer que la recourante avait son mot à dire -, toutefois pas toujours semble-t- il, Monsieur T__________ déclarant notamment que "je n'ai jamais mis de veto sur les décisions qu'elle prenait pour les paiements, nous allions ensemble à l'Office des poursuites.", d'une part, et Madame S__________ précisant que "pour moi les factures de charges sociales n'étaient pas différentes des autres", d'autre part. Il y a au surplus lieu d'observer que la recourante se comportait plutôt comme un dirigeant de la société que comme un simple employé. Elle explique en effet qu'elle accomplissait des heures supplémentaires sans les compter dans l'intérêt de la société, au motif que "j'avais envie que ça marche". Elle démontre clairement</w:t>
      </w:r>
    </w:p>
    <w:p>
      <w:r>
        <w:t>A/3696/2012 - 16/17 - l'ampleur de son investissement dans la société lorsqu'elle confirme que "nous essayions de payer les salaires régulièrement et les cotisations étaient dûment payées. Le montant correspondant aux cotisations était utilisé pour payer les différentes charges de la société. " La recourante n'a cependant pris aucune mesure, alors qu'elle savait que des charges sociales restaient impayées. Elle n'a en particulier pas pris contact avec la Caisse. Quand bien même elle aurait été empêchée par Monsieur T__________ de faire en sorte que la société s'acquitte des cotisations paritaires dues,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Qu’elle n’ait pas été en mesure d'exercer ses fonctions, parce que la société était en fait dirigée par un autre, ou qu'elle ait accepté son mandat d'administratrice uniquement pour rendre service, n'est pas un motif de suppression ou d'atténuation de la faute commise (voir arrêts non publiés 9C_289/2009, 9C_292/2009, 9C_295/2009, 9C_297/2009 et 9C_299/2009 du 19 mai 2010). Il y a enfin lieu de constater qu'elle était rémunérée pour son activité d'administratrice. Elle recevait en effet un salaire de 3'000 fr. brut par mois pour un travail à 50 %, lorsqu'elle avait été engagée, puis de 5'600 fr. pour un travail à 60%. Monsieur T__________ a confirmé que le salaire de la recourante avait été augmenté en relation avec son mandat d'administratrice, mais que la première augmentation avait été accordée pour respecter la promesse qu'avait tenue M. V__________. Ainsi de deux choses l'une, soit la recourante a laissé la gestion de la société à la seule appréciation et sous l’entière responsabilité de Monsieur T__________, ne s'en préoccupant pas et justifiant sa passivité par le fait qu'elle lui faisait confiance, soit elle a participé à la gestion, en ne prenant toutefois aucune mesure particulière pour que les charges sociales soient payées, considérant au demeurant que "les factures de charges sociales n'étaient pas différentes des autres". Il y a dès lors lieu d'admettre que la recourante a commis, au sens de l'art. 52 LAVS, une négligence grave. Cette négligence grave est, de surcroît, en relation de causalité naturelle et adéquate avec le dommage subi par la Caisse. En effet, si elle avait correctement exécuté son mandat, elle aurait pu veiller au paiement des cotisations aux assurances sociales.</w:t>
      </w:r>
    </w:p>
    <w:p>
      <w:r>
        <w:rPr>
          <w:b/>
        </w:rPr>
        <w:t>E. 12</w:t>
      </w:r>
    </w:p>
    <w:p>
      <w:r>
        <w:t>Aussi les recours sont-ils rejetés.</w:t>
      </w:r>
    </w:p>
    <w:p>
      <w:r>
        <w:t>A/3696/2012 - 17/17 - PAR CES MOTIFS, LA CHAMBRE DES ASSURANCES SOCIALES : Statuant A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