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ATAS/96/2023 vom 14. Februar 2023</w:t>
      </w:r>
    </w:p>
    <w:p>
      <w:r>
        <w:t>GE Cour de justice, 2023-02-14, FR</w:t>
      </w:r>
    </w:p>
    <w:p>
      <w:r>
        <w:rPr>
          <w:b/>
        </w:rPr>
        <w:t xml:space="preserve">Quelle: </w:t>
      </w:r>
      <w:r>
        <w:t>https://mcp.opencaselaw.ch/entscheid/ge_gerichte_ATAS_96_2023</w:t>
      </w:r>
    </w:p>
    <w:p>
      <w:r>
        <w:t>FR: GE_GERICHTE ATAS/96/2023 du 14 février 2023</w:t>
      </w:r>
    </w:p>
    <w:p>
      <w:r>
        <w:t>IT: GE_GERICHTE ATAS/96/2023 del 14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1.1</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1.2</w:t>
      </w:r>
    </w:p>
    <w:p>
      <w:r>
        <w:t>En l'espèce, il ressort de la banque de données Calvin de l'office cantonal de la population et des migrations que le recourant, né dans le canton de Genève, y a vécu jusqu'au 31 août 2013, date de son départ pour la France. Ainsi, quand bien même celui-ci était domicilié en France (au moment du dépôt du recours), il était fondé à saisir la chambre de céans, soit le for au lieu du dernier domicile en Suisse. Partant, la chambre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t>A/2884/2022 - 5/16 -</w:t>
      </w:r>
    </w:p>
    <w:p>
      <w:r>
        <w:rPr>
          <w:b/>
        </w:rPr>
        <w:t>E. 3</w:t>
      </w:r>
    </w:p>
    <w:p>
      <w:r>
        <w:t>Le 1er janvier 2021 est entrée en vigueur la modification du 21 juin 2019 de la LPGA. Dans la mesure où le recours (du 8 septembre 2022)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17 juin 2006), le droit du recourant aux prestations d'assurance est soumis à l'ancien droit (cf. dispositions transitoires relatives à la modification du 25 septembre 2015; arrêt du Tribunal fédéral 8C_662/2016 du 23 mai 2017 consid. 2.2). Les dispositions légales seront donc citées ci-après dans leur teneur en vigueur jusqu'au 31 décembre 2016.</w:t>
      </w:r>
    </w:p>
    <w:p>
      <w:r>
        <w:rPr>
          <w:b/>
        </w:rPr>
        <w:t>E. 5</w:t>
      </w:r>
    </w:p>
    <w:p>
      <w:r>
        <w:t>Le délai de recours est de trente jours (art. 56 et 60 LPGA; art. 62 al. 1 let. a de la loi sur la procédure administrative, du 12 septembre 1985 [LPA - E 5 10]). Interjeté dans la forme (art. 61 let. b LPGA) et le délai prévus par la loi, le recours est recevable.</w:t>
      </w:r>
    </w:p>
    <w:p>
      <w:r>
        <w:rPr>
          <w:b/>
        </w:rPr>
        <w:t>E. 6</w:t>
      </w:r>
    </w:p>
    <w:p>
      <w:r>
        <w:t>Le litige porte sur le droit du recourant à des prestations de l'assurance-accidents au-delà du 6 décembre 2021, singulièrement sur le taux de l'indemnité pour atteinte à l'intégrité.</w:t>
      </w:r>
    </w:p>
    <w:p>
      <w:r>
        <w:rPr>
          <w:b/>
        </w:rPr>
        <w:t>E. 7</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8</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particulier,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9</w:t>
      </w:r>
    </w:p>
    <w:p>
      <w:r>
        <w:t>Les prestations d'assurance sont également allouées en cas de rechutes et de séquelles tardives (art. 11 de l’ordonnance sur l'assurance-accidents, du</w:t>
      </w:r>
    </w:p>
    <w:p>
      <w:r>
        <w:t>A/2884/2022 - 6/16 - 20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w:t>
      </w:r>
    </w:p>
    <w:p>
      <w:r>
        <w:rPr>
          <w:b/>
        </w:rPr>
        <w:t>E. 10</w:t>
      </w:r>
    </w:p>
    <w:p>
      <w:r>
        <w:t>Aux termes de l'art. 10 al. 1 LAA, l'assuré a droit au traitement médical approprié des lésions résultant de l'accident.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w:t>
      </w:r>
    </w:p>
    <w:p>
      <w:r>
        <w:rPr>
          <w:b/>
        </w:rPr>
        <w:t>E. 10.1</w:t>
      </w:r>
    </w:p>
    <w:p>
      <w:r>
        <w:t>Le traitement médical et les indemnités journalières appartiennent, selon la jurisprudence fédérale, aux prestations temporaires (ATF 134 V 109 consid. 4.1 et 133 V 57 consid. 6.6 et 6.7).</w:t>
      </w:r>
    </w:p>
    <w:p>
      <w:r>
        <w:rPr>
          <w:b/>
        </w:rPr>
        <w:t>E. 10.2</w:t>
      </w:r>
    </w:p>
    <w:p>
      <w:r>
        <w:t>La limite temporelle de la prise en charge, par l’assureur-accidents, des prestations temporaires précitées (traitement et indemnités journalières) ressort de l’art. 19 LAA relatif aux rentes d’invalidité, qui, pour autant que les conditions soient remplies, prennent le relais des prestations temporaires (ATF 134 V 109 consid. 4.1).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L'art. 19 al. 1 LAA délimite temporellement le droit au traitement médical et le droit à la rente d'invalidité, le moment déterminant étant celui auquel l'état de santé peut être considéré comme relativement stabilisé (ATF 134 V 109 consid. 4.1; arrêts du Tribunal fédéral 8C_1023/2008 du 1er décembre 2009 consid. 5.1; U.305/03 du 31 août 2004 consid. 4.1; U.391/00 du 9 mai 2001 consid. 2a), étant précisé que le droit au traitement médical existe aussi longtemps qu'on peut en attendre une amélioration sensible de l'état de santé de l'assuré (ATF 116 V 44 consid. 2c).</w:t>
      </w:r>
    </w:p>
    <w:p>
      <w:r>
        <w:t>A/2884/2022 - 7/16 -</w:t>
      </w:r>
    </w:p>
    <w:p>
      <w:r>
        <w:rPr>
          <w:b/>
        </w:rPr>
        <w:t>E. 10.3</w:t>
      </w:r>
    </w:p>
    <w:p>
      <w:r>
        <w:t>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En effet, le droit au traitement médical et aux indemnités journalières cesse dès la naissance du droit à la rente au sens de l'art. 19 al. 1 LAA (art. 16 al. 2 LAA et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1er décembre 2009 consid. 5.2 et les références citées).</w:t>
      </w:r>
    </w:p>
    <w:p>
      <w:r>
        <w:rPr>
          <w:b/>
        </w:rPr>
        <w:t>E. 10.4</w:t>
      </w:r>
    </w:p>
    <w:p>
      <w:r>
        <w:t>Savoir ce que signifie une sensible amélioration de l'état de l'assuré (« namhaften Besserung des Gesundheitszustandes des Versicherten »; « un sensibile miglioramento della salute dell'assicurato ») au sens de l’art. 19 al. 1 LAA n'est pas précisé par le texte légal. L'assurance-accidents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U.244/04 du 20 mai 2005 et U.412/00 du 5 juillet 2001).</w:t>
      </w:r>
    </w:p>
    <w:p>
      <w:r>
        <w:rPr>
          <w:b/>
        </w:rPr>
        <w:t>E. 10.5</w:t>
      </w:r>
    </w:p>
    <w:p>
      <w:r>
        <w:t>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133 V 57 consid. 6.6.2; 128 V 169 consid. 1; 116 V 41 consid. 2c; cf. également ATAS/882/2016 du 24 octobre 2016 consid. 5c).</w:t>
      </w:r>
    </w:p>
    <w:p>
      <w:r>
        <w:rPr>
          <w:b/>
        </w:rPr>
        <w:t>E. 10.6</w:t>
      </w:r>
    </w:p>
    <w:p>
      <w:r>
        <w:t>Par ailleurs, lorsque, d’une part, on ne peut attendre de la continuation du traitement une amélioration notable de l’état de l’assuré au sens de l’art. 19 al. 1 LAA et que, d’autre part, les conditions de l’art. 21 al. 1 LAA (relatif au traitement médical après la fixation de la rente) ne sont pas remplies, l’assureur- accidents n’a pas à prendre en charge le traitement médical. C’est alors à l’assurance-maladie obligatoire d’intervenir (ATF 134 V 109 consid. 4.2 in fine).</w:t>
      </w:r>
    </w:p>
    <w:p>
      <w:r>
        <w:rPr>
          <w:b/>
        </w:rPr>
        <w:t>E. 11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w:t>
      </w:r>
    </w:p>
    <w:p>
      <w:r>
        <w:t>A/2884/2022 - 8/16 -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w:t>
      </w:r>
    </w:p>
    <w:p>
      <w:r>
        <w:rPr>
          <w:b/>
        </w:rPr>
        <w:t>E. 11.1</w:t>
      </w:r>
    </w:p>
    <w:p>
      <w:r>
        <w:t>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rPr>
          <w:b/>
        </w:rPr>
        <w:t>E. 11.2</w:t>
      </w:r>
    </w:p>
    <w:p>
      <w:r>
        <w:t>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w:t>
      </w:r>
    </w:p>
    <w:p>
      <w:r>
        <w:rPr>
          <w:b/>
        </w:rPr>
        <w:t>E. 11.3</w:t>
      </w:r>
    </w:p>
    <w:p>
      <w:r>
        <w:t>Cette disposition a été jugée conforme à la loi en tant qu'elle définit le caractère durable de l'atteinte (ATF 133 V 224 consid. 2; arrêt du Tribunal fédéral des assurances U.401/06 du 12 janvier 2007 consid. 2.2). Le caractère durable de l'atteinte doit être à tout le moins établi au degré de la vraisemblance</w:t>
      </w:r>
    </w:p>
    <w:p>
      <w:r>
        <w:t>A/2884/2022 - 9/16 -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w:t>
      </w:r>
    </w:p>
    <w:p>
      <w:r>
        <w:rPr>
          <w:b/>
        </w:rPr>
        <w:t>E. 11.4</w:t>
      </w:r>
    </w:p>
    <w:p>
      <w:r>
        <w:t>Le taux d'une atteinte à l'intégrité doit être évalué exclusivement sur la base de constatations médicales (ATF 115 V 147 consid. 1; ATF 113 V 218 consid. 4b; RAMA 2004 p. 415; arrêt du Tribunal fédéral des assurances U.134/03 du</w:t>
      </w:r>
    </w:p>
    <w:p>
      <w:r>
        <w:rPr>
          <w:b/>
        </w:rPr>
        <w:t>E. 11.5</w:t>
      </w:r>
    </w:p>
    <w:p>
      <w:r>
        <w:t>Entre le 1er janvier 2000 et le 31 décembre 2007, le montant maximum du gain assuré s'élevait à CHF 106'800.- par an et CHF 293.- par jour (art. 22 al. 1 aOLAA; RO 1998 2588).</w:t>
      </w:r>
    </w:p>
    <w:p>
      <w:r>
        <w:rPr>
          <w:b/>
        </w:rPr>
        <w:t>E. 11.6</w:t>
      </w:r>
    </w:p>
    <w:p>
      <w:r>
        <w:t>En cas de rechute ou de séquelles tardives, la base de calcul déterminante pour le calcul de l'indemnité pour atteinte à l'intégrité due est le montant maximum du gain annuel assuré au jour de l'accident (ATF 127 V 456 consid. 4).</w:t>
      </w:r>
    </w:p>
    <w:p>
      <w:r>
        <w:rPr>
          <w:b/>
        </w:rPr>
        <w:t>E. 11.7</w:t>
      </w:r>
    </w:p>
    <w:p>
      <w:r>
        <w:t>L’annexe 3 à l'OLAA comporte un barème – reconnu conforme à la loi et non exhaustif (ATF 113 V 218 consid. 2a; RAMA 1988 p. 236) – des lésions fréquentes et caractéristiques, évaluées en pour cent (ATF 124 V 209 consid. 4bb).</w:t>
      </w:r>
    </w:p>
    <w:p>
      <w:r>
        <w:rPr>
          <w:b/>
        </w:rPr>
        <w:t>E. 11.8</w:t>
      </w:r>
    </w:p>
    <w:p>
      <w:r>
        <w:t>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w:t>
      </w:r>
    </w:p>
    <w:p>
      <w:r>
        <w:rPr>
          <w:b/>
        </w:rPr>
        <w:t>E. 11.9</w:t>
      </w:r>
    </w:p>
    <w:p>
      <w:r>
        <w:t>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w:t>
      </w:r>
    </w:p>
    <w:p>
      <w:r>
        <w:t>A/2884/2022 - 10/16 - (ATF 132 II 117 consid. 2.2.3; ATF 124 V 209 consid. 4.cc; ATF 116 V 156 consid. 3).</w:t>
      </w:r>
    </w:p>
    <w:p>
      <w:r>
        <w:rPr>
          <w:b/>
        </w:rPr>
        <w:t>E. 11.10</w:t>
      </w:r>
    </w:p>
    <w:p>
      <w:r>
        <w:t>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w:t>
      </w:r>
    </w:p>
    <w:p>
      <w:r>
        <w:rPr>
          <w:b/>
        </w:rPr>
        <w:t>E. 11.10.1</w:t>
      </w:r>
    </w:p>
    <w:p>
      <w:r>
        <w:t>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 peut être prise en considération » (arrêt du Tribunal fédéral des assurances U. 173/00 du 22 septembre 2000 consid. 2).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w:t>
      </w:r>
    </w:p>
    <w:p>
      <w:r>
        <w:rPr>
          <w:b/>
        </w:rPr>
        <w:t>E. 11.10.2</w:t>
      </w:r>
    </w:p>
    <w:p>
      <w:r>
        <w:t>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U.124/01 du 22 novembre 2001 consid. 1b). Elle doit être d'au moins 5% de plus que ce qui était pronostiqué (RAMA 1991 p. 306).</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w:t>
      </w:r>
    </w:p>
    <w:p>
      <w:r>
        <w:t>A/2884/2022 - 11/16 - l'assuré à des prestations, l'administration ou le juge a besoin de documents que le médecin doit lui fournir (ATF 122 V 157 consid. 1b).</w:t>
      </w:r>
    </w:p>
    <w:p>
      <w:r>
        <w:rPr>
          <w:b/>
        </w:rPr>
        <w:t>E. 12.1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12.2.1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12.2.2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A/2884/2022 - 12/16 -</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14.1</w:t>
      </w:r>
    </w:p>
    <w:p>
      <w:r>
        <w:t>En l'espèce, la décision entreprise repose sur le rapport d'expertise du 19 mai 2022 du Dr D______ et son complément du 20 juin 2022, dont le recourant conteste la valeur probante.</w:t>
      </w:r>
    </w:p>
    <w:p>
      <w:r>
        <w:rPr>
          <w:b/>
        </w:rPr>
        <w:t>E. 14.2</w:t>
      </w:r>
    </w:p>
    <w:p>
      <w:r>
        <w:t>Or, ce rapport d'expertise a été établi en pleine connaissance de l'anamnèse et du dossier médical et radiologique. Il comprend les plaintes du recourant et est fondé sur l'examen clinique de celui-ci. Dans la mesure où le recourant ne cite aucune pièce médicale susceptible de mettre en cause les conclusions de l'expert et que les critiques qu'il émet à l'égard de l'expertise sont, comme on le verra ci- après, sans pertinence, celles-ci emportent la conviction.</w:t>
      </w:r>
    </w:p>
    <w:p>
      <w:r>
        <w:rPr>
          <w:b/>
        </w:rPr>
        <w:t>E. 14.2.1</w:t>
      </w:r>
    </w:p>
    <w:p>
      <w:r>
        <w:t>Le recourant allègue que l'expertise est sommaire, que le Dr D______ ne l'a ni mesuré ni pesé, que l'affirmation de l'expert selon laquelle il était difficile pour le recourant de se relever de la position accroupie est inexacte, car le spécialiste l'a vu se relever à l'aide de la table d'examen, de même qu'il est incorrect de mentionner que la fracture subie en 2003 au coude s'est remise favorablement puisque le recourant lui a indiqué que les douleurs subsistaient.</w:t>
      </w:r>
    </w:p>
    <w:p>
      <w:r>
        <w:rPr>
          <w:b/>
        </w:rPr>
        <w:t>E. 14.2.2</w:t>
      </w:r>
    </w:p>
    <w:p>
      <w:r>
        <w:t>Ces éléments ne suffisent pas à jeter le discrédit sur les conclusions de l'expert. En effet, contrairement à ce que fait valoir le recourant, l'expert a mesuré les périmètres musculaires de la cuisse, du genou et du mollet des deux côtés, puis examiné le genou droit et gauche (dossier intimée p. 41). Il a étudié les pièces médicales, en particulier les clichés de l'IRM du genou droit du 15 octobre 2021, ainsi que le résultat de la radiographie de ce genou du 28 mars 2022 (qu'il avait prescrite, p. 43). Aussi son évaluation était-elle basée tant sur l'examen clinique complet du recourant en ce qui concerne l'atteinte au genou droit (seule déterminante in casu) que sur le dossier d'imagerie y relatif. Même si, comme le prétend le recourant, l'expert s'était contenté de retranscrire la taille et le poids communiqués par le recourant, ces deux données en soi ne sont pas pertinentes pour les questions ici litigieuses (stabilisation de l'état de santé, taux de l'IPAI), pas plus que ne le sont les douleurs que le recourant éprouve encore au coude, cette articulation ne faisant pas l'objet du litige. Par ailleurs, on ne voit pas que</w:t>
      </w:r>
    </w:p>
    <w:p>
      <w:r>
        <w:t>A/2884/2022 - 13/16 - l'expert ait commis une erreur en qualifiant de « difficile » l'acte de se relever de la position accroupie, que le recourant considère pour sa part « impossible » sans l'aide de la table d'examen, d'autant moins que les conclusions de l'expert se fondent sur l'état du genou droit au vu des résultats d'imagerie y compris radiologique (récent) et sur l'examen clinique lors duquel il a observé ‒ à l'instar de l'orthopédiste traitant (rapport du 19 novembre 2021 p. 305-306) ‒ une extension complète dudit genou, sans instabilité (p. 41). En outre, le fait que l'expert ait complété son rapport d'expertise le 20 juin 2022 afin de répondre aux questions supplémentaires de l'intimée en lien avec l'ostéotomie de valgisation et la prothèse totale du genou ne permet pas de conclure que son appréciation est dénuée de force probante.</w:t>
      </w:r>
    </w:p>
    <w:p>
      <w:r>
        <w:rPr>
          <w:b/>
        </w:rPr>
        <w:t>E. 14.3</w:t>
      </w:r>
    </w:p>
    <w:p>
      <w:r>
        <w:t>En ce qui concerne la stabilisation de l'état du genou droit au 6 décembre 2021, que le recourant conteste, quand bien même il souffre de douleurs persistantes, force est de constater qu'il travaille à plein temps dans son activité habituelle (sans que les douleurs ne l'empêchent de l'exercer; dossier intimée p. 306). Même si l'orthopédiste traitant a évoqué la possibilité d'une ostéotomie de valgisation (p. 306), le Dr D______, quant à lui, au vu du bilan radiologique, ne juge pas nécessaire cette opération à l'heure actuelle (p. 45-46). Quoi qu'il en soit, le recourant ne souhaite pas non plus la subir (p. 45). Dans ces conditions, il n'y a effectivement plus lieu d'attendre de la continuation du traitement médical une amélioration sensible de l'état de santé du recourant, lequel peut être considéré comme stabilisé malgré la prise de médicaments (arrêt du Tribunal fédéral 8C_306/2016 du 22 septembre 2016 consid. 5.3) ‒ Dafalgan (p. 40), paracétamol, anti-inflammatoire non stéroïdien, étant précisé que l'expert ne recommande pas le Chondrosulf (que le recourant a du reste arrêté [p. 40]), dont son efficacité d'après l'expert n'est pas prouvée au long cours (p. 46). Par conséquent, l'intimée était fondée à refuser de prendre en charge le traitement médical au-delà du 6 décembre 2021. Le fait qu'elle ait d'ores et déjà reconnu de manière anticipée la prise en charge de l'ostéotomie de valgisation du genou (dont le lien de causalité avec l'accident en cause a été admis par l'expert, p. 28) ne modifie pas cette appréciation, tant et aussi longtemps que la réalisation de cette intervention chirurgicale n'est pas annoncée dans le cadre d'une rechute. La question de savoir si la mise en place d'une prothèse totale du genou droit est en lien de causalité avec l'accident du 17 juin 2006 (que l'intimée conteste pour l'instant) peut demeurer indécise, puisque, au vu de l'état du genou droit à la date déterminante de la décision querellée (ATF 144 V 210 consid. 4.3.1), cette opération n'est de toute façon pas encore indiquée (dossier intimée p. 29; acte de recours p. 3). En outre, le recourant ne peut pas à ce stade prétendre à la prise en charge « anticipée » des frais découlant de la pose d'une prothèse totale du genou, car un tel droit n'existe pas en vertu de la loi. Ces questions pourront être examinées lors de l'annonce ultérieure d'une rechute. Autre est la question de savoir si l'aggravation future de l'état du genou droit (même en relation de</w:t>
      </w:r>
    </w:p>
    <w:p>
      <w:r>
        <w:t>A/2884/2022 - 14/16 - causalité avec l'accident assuré) est prévisible, car encore faut-il qu'elle soit quantifiable (ce qui n'est pas le cas en l'espèce, comme on le verra plus loin) afin qu'elle soit prise en compte dans la fixation actuelle du taux de l'IPAI.</w:t>
      </w:r>
    </w:p>
    <w:p>
      <w:r>
        <w:rPr>
          <w:b/>
        </w:rPr>
        <w:t>E. 14.4</w:t>
      </w:r>
    </w:p>
    <w:p>
      <w:r>
        <w:t>La conclusion du recourant tendant au paiement des indemnités journalières en rapport avec l'accident du 17 juin 2006, sans limite de temps, est également dénuée de tout fondement, dès lors qu'il n'a pas présenté d'incapacité de travail dans le cadre de la rechute annoncée le 23 juillet 2021.</w:t>
      </w:r>
    </w:p>
    <w:p>
      <w:r>
        <w:rPr>
          <w:b/>
        </w:rPr>
        <w:t>E. 14.5</w:t>
      </w:r>
    </w:p>
    <w:p>
      <w:r>
        <w:t>En ce qui concerne le taux de l'IPAI, le Dr D______ a retenu l'existence d'une arthrose fémoro-tibiale moyenne du genou droit donnant droit à une IPAI de 5 à 15% selon la table 5 « Taux d'atteinte à l'intégrité résultant d'arthroses » publiée par les médecins de la SUVA, et expliqué que, en l'absence d'une indication opératoire à ce jour et au vu des constatations clinique et radiologique, il se justifiait d'appliquer un taux intermédiaire de 7,5% (dossier intimée p. 47 et 28). Ce faisant, l'expert s'est déterminé sur le taux de l'IPAI sur la base de constatations médicales. Comme on l'a relevé plus haut, aucune pièce au dossier ne fournit d'éléments objectifs contraires qui permettraient de remettre en cause cette appréciation ‒ que la chambre de céans considère comme probante pour les motifs exposés supra (consid. 14.2.1-14.2.2). Du reste, le recourant ne peut pas prétendre à un taux de 15%, soit le taux le plus élevé pour une arthrose moyenne touchant l'articulation fémoro-tibiale, conformément à la règle selon laquelle on retient le taux d'atteinte à l'intégrité le plus élevé lorsque l'articulation considérée présente une instabilité en plus de l'arthrose (cf. la table 5 précitée), dès lors que, comme on l'a dit plus haut (consid. 14.2.2), il n'existe pas une instabilité de l'articulation. Par ailleurs, contrairement à ce que prétend le recourant, l'expert ne s'est pas borné à tenir compte de l'exercice de la profession assise pour évaluer le taux de l'IPAI lorsqu'il a indiqué « [o]n ne peut pas à ce jour être certain de l'évolution de ces lésions, d'autant que l'activité professionnelle est réalisée surtout en position assise » (dossier intimée p. 46). Il s'agit simplement d'un argument lui permettant de conclure que l'aggravation de l'état du genou droit n'est pas prévisible (voir également p. 47 [rapport d'expertise] et p. 28 [complément d'expertise]). De toute manière, même si le recourant souffre actuellement d'une arthrose fémoro-tibiale moyenne du genou droit, le Tribunal fédéral n'a pas considéré de manière générale que l'évolution d'une arthrose serait toujours défavorable, de sorte qu'en présence d'une telle atteinte, il conviendrait d'emblée d'admettre la condition du caractère prévisible d'une aggravation future (arrêt 8C_238/2020 du 7 octobre 2020 consid. 4.3). En tout état de cause, même en admettant la vraisemblance d'une future aggravation de l'arthrose, et bien que l'orthopédiste traitant ait évoqué une prothèse totale du genou (qui serait précédée d'une ostéotomie de valgisation, intervention que ne souhaite pas le recourant), aucune pièce médicale ne fait état du délai dans lequel une arthroplastie du genou droit avec implantation d'une prothèse pourrait s'avérer nécessaire. L'expert n'a pas non plus été en mesure de</w:t>
      </w:r>
    </w:p>
    <w:p>
      <w:r>
        <w:t>A/2884/2022 - 15/16 - quantifier l'évolution et la gravité de l'arthrose (dossier intimée p. 47 et 28). Par conséquent, la future IPAI n'est pas quantifiable à ce stade, de sorte qu'elle ne saurait être fixée dès à présent (dans ce sens : arrêt du Tribunal fédéral des assurances U.173/00 du 22 septembre 2000 consid. 2). Vu ce qui précède, il n'est pas nécessaire, comme le voudrait le recourant, de mettre en œuvre une nouvelle expertise, voire une nouvelle IRM (en vue de mettre en évidence la péjoration de son état), car le juge apprécie la légalité de la décision litigieuse d'après l'état de fait existant au moment où cette décision a été rendue (ATF 144 V 210 consid. 4.3.1). Les faits survenus postérieurement (soit cas échéant l'aggravation de l'état du genou droit) doivent faire l'objet d'une nouvelle décision administrative. Ainsi, si le recourant entend établir l'existence d'une aggravation importante de l'état de son genou droit, il lui sera loisible de requérir auprès de l'intimée la révision exceptionnelle du taux de l'indemnité pour atteinte à l'intégrité fondée sur l'art. 36 al. 4 OLAA (dans ce sens : arrêts du Tribunal fédéral 8C_420/2021 du 6 octobre 2021 consid. 5; 8C_238/2020 du 7 octobre 2020 consid. 4.3). Enfin, dans la mesure où le gain annuel assuré à l'époque de l'accident s'élevait à CHF 106'800.- par an (art. 22 al. 1 aOLAA), le montant de l'IPAI fixé à CHF 8'010.- (106'800 × 7,5%) par l'intimée ne prête pas le flanc à la critique.</w:t>
      </w:r>
    </w:p>
    <w:p>
      <w:r>
        <w:rPr>
          <w:b/>
        </w:rPr>
        <w:t>E. 15</w:t>
      </w:r>
    </w:p>
    <w:p>
      <w:r>
        <w:t>Au vu de ce qui précède, le recours est rejeté.</w:t>
      </w:r>
    </w:p>
    <w:p>
      <w:r>
        <w:rPr>
          <w:b/>
        </w:rPr>
        <w:t>E. 16</w:t>
      </w:r>
    </w:p>
    <w:p>
      <w:r>
        <w:t>Le recourant (non représenté), qui succombe, n'a pas droit à des dépens (art. 61 let. g LPGA a contrario).</w:t>
      </w:r>
    </w:p>
    <w:p>
      <w:r>
        <w:rPr>
          <w:b/>
        </w:rPr>
        <w:t>E. 16.1</w:t>
      </w:r>
    </w:p>
    <w:p>
      <w:r>
        <w:t>L'intimée, qui obtient gain de cause, conclut à l’octroi de dépens.</w:t>
      </w:r>
    </w:p>
    <w:p>
      <w:r>
        <w:rPr>
          <w:b/>
        </w:rPr>
        <w:t>E. 16.2</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(ATAS/956/2016 du 22 novembre 2016 consid. 27a; cf. également arrêt du Tribunal fédéral des assurances U.98/00 du 19 octobre 2000 consid. 3).</w:t>
      </w:r>
    </w:p>
    <w:p>
      <w:r>
        <w:rPr>
          <w:b/>
        </w:rPr>
        <w:t>E. 16.3</w:t>
      </w:r>
    </w:p>
    <w:p>
      <w:r>
        <w:t>En l’espèce, le recours – quoique mal fondé – n’est ni téméraire ni ne témoigne de légèreté. La cause ne saurait être considérée comme complexe. Aussi l’intimée n’a-t-elle pas droit à l’octroi d’une indemnité de procédure.</w:t>
      </w:r>
    </w:p>
    <w:p>
      <w:r>
        <w:rPr>
          <w:b/>
        </w:rPr>
        <w:t>E. 17</w:t>
      </w:r>
    </w:p>
    <w:p>
      <w:r>
        <w:t>Pour le surplus, la procédure est gratuite (art. 61 let. fbis LPGA a contrario).</w:t>
      </w:r>
    </w:p>
    <w:p>
      <w:r>
        <w:t>A/2884/2022 - 16/16 -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