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ATAS/96/2018 vom 5. Februar 2018</w:t>
      </w:r>
    </w:p>
    <w:p>
      <w:r>
        <w:t>GE Cour de justice, 2018-02-05, FR</w:t>
      </w:r>
    </w:p>
    <w:p>
      <w:r>
        <w:rPr>
          <w:b/>
        </w:rPr>
        <w:t xml:space="preserve">Quelle: </w:t>
      </w:r>
      <w:r>
        <w:t>https://mcp.opencaselaw.ch/entscheid/ge_gerichte_ATAS_96_2018</w:t>
      </w:r>
    </w:p>
    <w:p>
      <w:r>
        <w:t>FR: GE_GERICHTE ATAS/96/2018 du 5 février 2018</w:t>
      </w:r>
    </w:p>
    <w:p>
      <w:r>
        <w:t>IT: GE_GERICHTE ATAS/96/2018 del 5 febbraio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A/4243/2017 - 6/11 -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du recourant à une rente d’invalidité, singulièrement sur la question de savoir si son incapacité de travail a perduré au-delà du 1er octobre 2015.</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A/4243/2017 - 7/11 -</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w:t>
      </w:r>
    </w:p>
    <w:p>
      <w:r>
        <w:t>A/4243/2017 - 8/11 -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w:t>
      </w:r>
    </w:p>
    <w:p>
      <w:r>
        <w:t>A/4243/2017 - 9/11 -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10</w:t>
      </w:r>
    </w:p>
    <w:p>
      <w:r>
        <w:t>En l’occurrence, l’intimé a rendu une décision de refus de toute prestation en se basant sur les avis du SMR des 21 décembre 2016 et 20 septembre 2017 selon lesquels le recourant était capable de travailler à 100 % dans son activité habituelle depuis le 2 octobre 2015, date de la consultation du Dr BARTOLI ; il a considéré que les difficultés de déplacement et les risques de chute, attestées par le</w:t>
      </w:r>
    </w:p>
    <w:p>
      <w:r>
        <w:t>A/4243/2017 - 10/11 - Dr C______, étaient compatible avec l’activité habituelle et évoluaient dans un contexte d’éthylisme primaire. Le recourant fait valoir des limitations fonctionnelles incapacitantes en se fondant sur les avis du Dr C______ des 26 septembres 2016 et 20 janvier 2017 et en alléguant des troubles cognitifs. A cet égard, la chambre de céans constate que le Dr C______ a en effet fait état de limitations fonctionnelles incapacitantes par la présence d’un diagnostic d’hématome sous-dural chronique convexitaire gauche symptomatique et la survenance, après les trois interventions chirurgicales subies par le recourant, d’une instabilité à la marche importante, avec des céphalées occasionnelles, un état général diminué et des troubles de l’équilibre avec élargissement du polygone de sustentation ; selon ce médecin, la situation s’était péjorée en 2017 et la capacité de travail était nulle depuis le 12 juillet 2015. Par ailleurs, le recourant a mentionné en audience des troubles de la mémoire et de la concentration (procès-verbal d’audience du 22 janvier 2017). La chambre de céans constate que si la consultation d’épileptologie du 25 août 2016 a évoqué un contexte de « consommation OH à risque », et des chutes suggérant une instabilité à la marche dans le contexte d’une polyneuropathie, ainsi que des épisodes d’alcoolisation aigue, la conclusion du SMR selon laquelle l’instabilité à la marche évoluait dans un contexte d’éthylisme primaire parait hâtive et peu documentée, en particulier compte tenu du diagnostic principal d’hématome sous-dural chronique avec composante aiguë convexitaire gauche, lequel n’est pas contesté par le SMR. Or, la symptomatologie avancée par le Dr C______ n’a pas été sérieusement évaluée par l’intimé. Dans ces conditions, il convient d’admettre que l’instruction médicale effectuée par l’intimé est lacunaire, de sorte qu’il se justifie d’admettre le recours et de renvoyer la cause à l’intimé, pour instruction médicale et nouvelle décision. Celle-ci devra comprendre un volet neurologique et un examen neuropsychologique, compte tenu des atteintes alléguées.</w:t>
      </w:r>
    </w:p>
    <w:p>
      <w:r>
        <w:rPr>
          <w:b/>
        </w:rPr>
        <w:t>E. 11</w:t>
      </w:r>
    </w:p>
    <w:p>
      <w:r>
        <w:t>Vu l’issue du litige, une indemnité de CHF 3'000.- sera accordée au recourant à titre de participation à ses frais et dépens (art. 61 let. g LPGA; art. 6 du règlement sur les frais, émoluments et indemnités en matière administrative du 30 juillet 1986 [RFPA - E 5 10.03]), à charge de l’intimé. Etant donné que, depuis le 1er juillet 2006, la procédure n'est plus gratuite (art. 69 al. 1bis LAI), au vu du sort du recours, il y a lieu de condamner l'intimé au paiement d'un émolument de CHF 200.-.</w:t>
      </w:r>
    </w:p>
    <w:p>
      <w:r>
        <w:t>A/4243/2017 - 11/11 -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