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ATAS/96/2013 vom 31. Januar 2013</w:t>
      </w:r>
    </w:p>
    <w:p>
      <w:r>
        <w:t>GE Cour de justice, 2013-01-31, FR</w:t>
      </w:r>
    </w:p>
    <w:p>
      <w:r>
        <w:rPr>
          <w:b/>
        </w:rPr>
        <w:t xml:space="preserve">Quelle: </w:t>
      </w:r>
      <w:r>
        <w:t>https://mcp.opencaselaw.ch/entscheid/ge_gerichte_ATAS_96_2013</w:t>
      </w:r>
    </w:p>
    <w:p>
      <w:r>
        <w:t>FR: GE_GERICHTE ATAS/96/2013 du 31 janvier 2013</w:t>
      </w:r>
    </w:p>
    <w:p>
      <w:r>
        <w:t>IT: GE_GERICHTE ATAS/96/2013 del 31 gennaio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A/4495/2011 - 7/15 -</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du recourant à des mesures d’ordre professionnel, singulièrement sur sa capacité de travail.</w:t>
      </w:r>
    </w:p>
    <w:p>
      <w:r>
        <w:rPr>
          <w:b/>
        </w:rPr>
        <w:t>E. 6</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7</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w:t>
      </w:r>
    </w:p>
    <w:p>
      <w:r>
        <w:rPr>
          <w:b/>
        </w:rPr>
        <w:t>E. 8</w:t>
      </w:r>
    </w:p>
    <w:p>
      <w:r>
        <w:t>Se pose en premier lieu la question de savoir si l'assuré est invalide ou menacé d'une invalidité permanente (art. 28 al. 1er LAI). On rappellera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 a/aa)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A/4495/2011 - 8/15 -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a/bb)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a/cc)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A/4495/2011 - 9/15 -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w:t>
      </w:r>
    </w:p>
    <w:p>
      <w:r>
        <w:t>A/4495/2011 - 10/15 - susceptibles d'influencer le droit à la rente survenues jusqu'au moment où la décision est rendue doivent être prises en compte (ATF 129 V 222 et ATF 128 V 174). b/aa)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b/bb)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w:t>
      </w:r>
    </w:p>
    <w:p>
      <w:r>
        <w:t>A/4495/2011 - 11/15 -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Le Tribunal fédéral a ainsi considéré, dans un arrêt non publié 9C_984/2008 du 4 mai 2009, que l’assuré, qui souffrait d’une personnalité borderline et qui avait besoin de pouvoir fonctionner de manière parfaitement autonome et en dehors de toute pression extérieure, dans un environnement protégé et confiné, ne pouvait offrir ce que l’on est en droit d’attendre d’un travailleur dans des rapports de travail qualifiés de normaux. Bien plus, notre Haute Cour a rappelé qu’à la différence de simples fluctuations conjoncturelles (ATF I 198/76 du 4 octobre 1976 consid. 2, in</w:t>
      </w:r>
    </w:p>
    <w:p>
      <w:r>
        <w:t>A/4495/2011 - 12/15 - RCC 1977 p. 206), les modifications structurelles que peut connaître le marché du travail sont des circonstances dont il y a lieu de tenir compte en matière d'assurance-invalidité (ATF I 436/92 du 29 septembre 1993 consid. 4c et 5b). La structure actuelle du marché du travail n'offre plus les conditions qui permettaient encore à une personne comme le recourant, à l'aube des années nonante, de trouver un emploi et d'exercer par intermittence une activité lucrative.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Si le marché du travail présentait par le passé une souplesse suffisante permettant, tant bien que mal, d'intégrer en son sein la personne du recourant, la nature et l'importance du trouble de la personnalité constitue, au regard des conditions actuelles du marché du travail, des obstacles irrémédiables à la reprise d'une activité lucrative salariée.</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le recourant a été examiné par le Dr M__________, psychiatre spécialisé, qui, dans son rapport du 12 juillet 2011 - dont la valeur probante n’est pas contestée - a d’abord conclu que rien ne s’opposait à ce que l’assuré exerce la profession d’aide-palefrenier, étant précisé qu’il était hautement souhaitable, compte tenu de sa pathologie, qu’il pût conserver une place de travail stable. L’expert a souligné la fragilité psychique de l’assuré et le risque qu’en cas de stress ou de changement, il rechute dans ses tendances alcooliques et sa « clochardisation ». Il a également relevé ses difficultés patentes à s’adapter à un environnement professionnel comportant des interactions avec d’autres employés ou avec un responsable. Il en a tiré la conclusion que l’assuré avait besoin d’un environnement professionnel tolérant, soutenant et lui épargnant le stress inhérent à un rythme de travail soutenu, les cadences horaires élevées, les remarques et les critiques. La conseillère en insertion en charge du cas de l’assuré a expliqué que l’activité exercée par ce dernier au centre équestre correspondait en réalité à celle d’un atelier protégé, vu les conditions d’encadrement et le niveau d’exigences.</w:t>
      </w:r>
    </w:p>
    <w:p>
      <w:r>
        <w:t>A/4495/2011 - 13/15 - En ayant été informé, le Dr M__________ a modifié ses conclusions, admettant une totale incapacité à exercer comme monteur électricien et une capacité réduite à exercer comme aide-palefrenier (50%, voire progressivement davantage, jusqu’à 100%). L’expert a également évoqué d’autres activités comparables en termes de qualifications et d’environnement, tout en admettant que la poursuite de l’activité en cours était préférable compte tenu de la nécessité d’éviter tout changement. Au vu de ce qui précède, force est de constater que le trouble de la personnalité dont souffre le recourant et ses conséquences sur son fonctionnement au quotidien exigent qu'il puisse travailler dans un environnement soutenant, à l’abri de tout stress professionnel, dans un environnement tolérant où on ne lui fera ni remarques ni critiques et sans interactions avec d’autres employés. De fait, le recourant n'est donc pas en mesure d'offrir ce que l'on est en droit d'attendre d'un travailleur dans des rapports de travail qualifiés de normaux. En effet, comme cela a été relevé supra, de nos jours,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dont le recourant est manifestement dépourvu, ainsi que l’a souligné l’expert à plusieurs reprises. Ainsi, les concessions démesurées qui seraient demandées à un éventuel employeur rendent l'exercice d'une activité lucrative incompatible avec les exigences actuelles du monde économique. En conséquence, il convient d'admettre que le recourant n'est plus en mesure d'exploiter sa capacité résiduelle de travail sur le plan économique et de conclure à une incapacité de travail de 100%. b) Compte tenu du taux d'incapacité de travail ainsi déterminé, le degré d'invalidité doit être fixé à 100 %, ce qui a pour conséquence que des mesures d’ordre professionnel sont inutiles dans le cas présent.</w:t>
      </w:r>
    </w:p>
    <w:p>
      <w:r>
        <w:rPr>
          <w:b/>
        </w:rPr>
        <w:t>E. 11</w:t>
      </w:r>
    </w:p>
    <w:p>
      <w:r>
        <w:t>a) L’invalidité de 100% retenue par la Cour de céans soulève le problème de l’objet du litige. En effet, la demande du recourant se limite à l’octroi d’une réadaptation professionnelle et l’intimé ne semble avoir envisagé la situation que sous cet angle. Partant, l’objet du litige se limite à la problématique des mesures professionnelles (voir notamment ATF non publié 9C_406/2012 du 18 septembre 2012 consid. 3.1). La Cour de céans n’a donc d’autre choix que de rejeter le recours du 23 décembre 2011 et de confirmer, par substitution de motifs, la décision de refus de mesures d’ordre professionnel. b) Il convient toutefois de rappeler qu’en s'annonçant à l'assurance-invalidité, l'assuré sauvegarde, en principe, tous ses droits à des prestations d'assurance, et cela jusqu'au moment de la décision et ce même s’il ne les décrit pas individuellement dans le formulaire de demande. Ainsi, en application des principes de l’instruction</w:t>
      </w:r>
    </w:p>
    <w:p>
      <w:r>
        <w:t>A/4495/2011 - 14/15 - d’office et de l’application du droit d’office, l’instruction de l’OAI doit porter sur toutes les prestations qui, au vu de l’état de fait et des pièces figurant au dossier, peuvent entrer en ligne de compte et cela même si elles ne sont pas explicitement sollicitées (ATF 103 V 69, ATF 101 V 111 consid. 3a). Dans le cas soumis à la Cour de céans, l’état de fait et les pièces du dossier auraient dû amener l’intimé à instruire la question du droit éventuel de l’assuré à une rente. Cela n’ayant pas été fait, la cause sera renvoyée à l’intimé pour décision sur la question de la rente.</w:t>
      </w:r>
    </w:p>
    <w:p>
      <w:r>
        <w:rPr>
          <w:b/>
        </w:rPr>
        <w:t>E. 12</w:t>
      </w:r>
    </w:p>
    <w:p>
      <w:r>
        <w:t>Au vu de ce qui précède, le recours sera rejeté. Etant donné que depuis le 1er juillet 2006, la procédure n'est plus gratuite (art. 69 al. 1bis LAI), au vu du sort du recours, il y a lieu de condamner le recourant au paiement d'un émolument de 200 fr. Le fait qu’il perçoive l’aide sociale ne dispense pas le recourant du paiement d’un émolument puisque le règlement sur les frais, émolument et indemnités en procédure administrative du 30 juillet 1986 (RFPA; E 5 10.03) ne prévoit une telle dispense que pour les administrés au bénéfice de l’assistance judiciaire (art. 12 al. 1 RFPA), ce qui n’est pas son cas.</w:t>
      </w:r>
    </w:p>
    <w:p>
      <w:r>
        <w:t>A/4495/2011 - 15/15 -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