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ATAS/969/2019 vom 24. Oktober 2017</w:t>
      </w:r>
    </w:p>
    <w:p>
      <w:r>
        <w:t>GE Cour de justice, 2017-10-24, FR</w:t>
      </w:r>
    </w:p>
    <w:p>
      <w:r>
        <w:rPr>
          <w:b/>
        </w:rPr>
        <w:t xml:space="preserve">Quelle: </w:t>
      </w:r>
      <w:r>
        <w:t>https://mcp.opencaselaw.ch/entscheid/ge_gerichte_ATAS_969_2019</w:t>
      </w:r>
    </w:p>
    <w:p>
      <w:r>
        <w:t>FR: GE_GERICHTE ATAS/969/2019 du 24 octobre 2017</w:t>
      </w:r>
    </w:p>
    <w:p>
      <w:r>
        <w:t>IT: GE_GERICHTE ATAS/969/2019 del 24 ottobre 2017</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w:t>
      </w:r>
    </w:p>
    <w:p>
      <w:r>
        <w:t>A/3316/2018 - 4/9 - du cas d’espèce est ainsi établie, la décision attaquée ayant été rendue sur opposition en application des lois précitées.</w:t>
      </w:r>
    </w:p>
    <w:p>
      <w:r>
        <w:rPr>
          <w:b/>
        </w:rPr>
        <w:t>E. 2</w:t>
      </w:r>
    </w:p>
    <w:p>
      <w:r>
        <w:t>Le recours a été interjeté en temps utile (art. 60 al. 1 LPGA ; art. 9 de la loi sur les prestations fédérales complémentaires à l’assurance-vieillesse et survivants et à l’assurance-invalidité du 14 octobre 1965 - LPFC - J 4 20 ; art. 43 LPCC), dans le respect des exigences de forme et de contenu prescrites par la loi (art. 61 let. b LPGA ; art. 89B de la loi sur la procédure administrative du 12 septembre 1985 - LPA - E 5 10). Il est donc recevable.</w:t>
      </w:r>
    </w:p>
    <w:p>
      <w:r>
        <w:rPr>
          <w:b/>
        </w:rPr>
        <w:t>E. 3</w:t>
      </w:r>
    </w:p>
    <w:p>
      <w:r>
        <w:t>Le litige porte sur le bien-fondé de la demande en restitution formée par l’intimé à l’encontre de la recourante, plus particulièrement sur la question de savoir si le calcul de l’intimé est correct ou s’il aurait dû déduire du montant de la fortune de la recourante celui de CHF 46'000.- qu’elle allègue devoir à sa fille.</w:t>
      </w:r>
    </w:p>
    <w:p>
      <w:r>
        <w:rPr>
          <w:b/>
        </w:rPr>
        <w:t>E. 4</w:t>
      </w:r>
    </w:p>
    <w:p>
      <w:r>
        <w:t>a. La LPC prévoit, en son art. 2 al. 1, que la Confédération et les cantons accordent aux personnes qui remplissent les conditions fixées aux art. 4 à 6 LPC – à savoir des bénéficiaires de certaines prestations de l’assurance-vieillesse et survivants ou de l’assurance 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Les prestations complémentaires fédérales sont destinées à couvrir la part des dépenses reconnues qui excède les revenus déterminants (art. 9 al. 1 LPC). Tant les dépenses reconnues que les revenus déterminants sont définis par la loi. b.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5</w:t>
      </w:r>
    </w:p>
    <w:p>
      <w:r>
        <w:t>Au titre des revenus déterminants, l’art. 11 LPC énumère notamment - pour s’en tenir aux éléments ici susceptibles d’entrer en considération - un quinzième de la fortune nette dans la mesure où elle dépasse CHF 37'500.- pour les personnes seules (al. 1 let. c). Pour les PCC, l’art. 5 in initio LPCC prévoit que le revenu déterminant est calculé conformément aux règles fixées dans la LPC et ses dispositions d'exécution</w:t>
      </w:r>
    </w:p>
    <w:p>
      <w:r>
        <w:t>A/3316/2018 - 5/9 - (cf. dans le même sens, l’art. 7 al. 1 LPCC concernant la fortune), moyennant quelques adaptations, dont il y a lieu de citer ici l’art. 5 let. c LPCC, aux termes duquel, en dérogation à l’art. 11 al. 1 let. c LPC, la part de la fortune nette à prendre en compte dans le calcul du revenu déterminant est de un huitième après déduction de la même franchise.</w:t>
      </w:r>
    </w:p>
    <w:p>
      <w:r>
        <w:rPr>
          <w:b/>
        </w:rPr>
        <w:t>E. 6</w:t>
      </w:r>
    </w:p>
    <w:p>
      <w:r>
        <w:t>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3ème éd., 2016, p. 1681 ss, n. 163 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w:t>
      </w:r>
    </w:p>
    <w:p>
      <w:r>
        <w:rPr>
          <w:b/>
        </w:rPr>
        <w:t>E. 7</w:t>
      </w:r>
    </w:p>
    <w:p>
      <w:r>
        <w:t>L’art. 65 al. 1 de la loi sur l'assurance-maladie (LAMal - RS 832.10) dispose que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Aux termes de l’art. 19 al. 1 de la loi d’application de la loi fédérale sur l’assurance-maladie (LaLAMal - J 3 05), conformément aux art. 65ss LAMal, l’État de Genève accorde aux assurés de condition économique modeste (ci-après : ayants droits) des subsides destinés à la couverture totale ou partielle des primes de l’assurance-maladie. Les subsides sont notamment destinés aux assurés bénéficiaires des prestations complémentaires à l'AVS/AI (cf. art. 20 al. 1 let. b LaLAMal). Le service de l’assurance-maladie (SAM) est chargé du versement des subsides destinés à la réduction des primes (art. 19 al. 3 1ère phrase LaLAMal).</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A/3316/2018 - 6/9 -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9</w:t>
      </w:r>
    </w:p>
    <w:p>
      <w:r>
        <w:t>En l’espèce, la recourante demande que soient déduits du montant de sa fortune les CHF 46'000.- qu’elle estime devoir à sa fille. Il ressort cependant du dossier que la dette alléguée de la recourante envers sa fille n’a fait l’objet d’aucun document, officiel ou non, et que, de l’aveu même de l’intéressée et de sa fille, cette dernière ne compte pas sur un remboursement du vivant de sa mère, qui ne lui a d’ailleurs absolument rien versé à ce jour. Dans ces conditions, c’est à juste titre que l’intimé a refusé de prendre en considération le montant en question et de le porter en déduction de la fortune de l’intéressée. Dans la mesure où celle-ci n’a aucunement l’intention de s’acquitter de sa « dette » de son vivant, celle-ci ne saurait être prise en compte dans le calcul de ses prestations. À défaut d’éléments documentant le prêt de la fille de la recourante à cette dernière et au vu des déclarations des intéressées elles-mêmes, la Cour de céans retiendra au degré de la vraisemblance prépondérante que la fille de la recourante n’attend pas de remboursement de sa mère (cf. ATFA non publié P 57/05 du 29 août 2006). Reste à examiner si les conditions d’une demande en restitution sont réunies.</w:t>
      </w:r>
    </w:p>
    <w:p>
      <w:r>
        <w:rPr>
          <w:b/>
        </w:rPr>
        <w:t>E. 10</w:t>
      </w:r>
    </w:p>
    <w:p>
      <w:r>
        <w:t>S'agissant des prestations complémentaires fédérales, 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w:t>
      </w:r>
    </w:p>
    <w:p>
      <w:r>
        <w:t>A/3316/2018 - 7/9 -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L’art. 24 de l’ordonnance sur les prestations complémentaires à l’assurance- 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En vertu de l'art. 25 al. 2 1ère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w:t>
      </w:r>
    </w:p>
    <w:p>
      <w:r>
        <w:t>A/3316/2018 - 8/9 -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w:t>
      </w:r>
    </w:p>
    <w:p>
      <w:r>
        <w:rPr>
          <w:b/>
        </w:rPr>
        <w:t>E. 11</w:t>
      </w:r>
    </w:p>
    <w:p>
      <w:r>
        <w:t>En l’espèce, l’intimé a appris l’existence des biens immobiliers litigieux et de la rente espagnole en novembre 2016. En procédant à de nouveaux calculs en tenant compte et en réclamant la restitution du trop-versé par décisions du 16 janvier 2017, il a donc agi en temps utile. Par ailleurs, c’est à juste titre qu’il a appliqué le délai de prescription de l’action pénale, vu la violation patente de l’obligation de renseigner commise par la recourante. Le recours s’avère donc mal fondé. Aussi doit-il être rejeté. La procédure est gratuite (art. 61 let. a LPGA ; art. 89H al. 1 LPA).</w:t>
      </w:r>
    </w:p>
    <w:p>
      <w:r>
        <w:t>A/3316/2018 - 9/9 -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