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ATAS/969/2017 vom 30. Oktober 2017</w:t>
      </w:r>
    </w:p>
    <w:p>
      <w:r>
        <w:t>GE Cour de justice, 2017-10-30, FR</w:t>
      </w:r>
    </w:p>
    <w:p>
      <w:r>
        <w:rPr>
          <w:b/>
        </w:rPr>
        <w:t xml:space="preserve">Quelle: </w:t>
      </w:r>
      <w:r>
        <w:t>https://mcp.opencaselaw.ch/entscheid/ge_gerichte_ATAS_969_2017</w:t>
      </w:r>
    </w:p>
    <w:p>
      <w:r>
        <w:t>FR: GE_GERICHTE ATAS/969/2017 du 30 octobre 2017</w:t>
      </w:r>
    </w:p>
    <w:p>
      <w:r>
        <w:t>IT: GE_GERICHTE ATAS/969/2017 del 30 ottobre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Interjeté dans la forme et le délai prévus par la loi, le recours est recevable, en vertu des art. 56ss LPGA.</w:t>
      </w:r>
    </w:p>
    <w:p>
      <w:r>
        <w:rPr>
          <w:b/>
        </w:rPr>
        <w:t>E. 4</w:t>
      </w:r>
    </w:p>
    <w:p>
      <w:r>
        <w:t>Le litige porte sur le droit de la recourante à une rente d’invalidité singulièrement sur l’évolution de ses empêchements dans la sphère ménagère.</w:t>
      </w:r>
    </w:p>
    <w:p>
      <w:r>
        <w:t>A/2699/2017 - 7/13 -</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w:t>
      </w:r>
    </w:p>
    <w:p>
      <w:r>
        <w:t>A/2699/2017 - 8/13 -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b.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w:t>
      </w:r>
    </w:p>
    <w:p>
      <w:r>
        <w:t>A/2699/2017 - 9/13 -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Pour satisfaire à l'obligation de réduire le dommage (voir ATF 129 V 463 consid.</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A/2699/2017 - 10/13 -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11</w:t>
      </w:r>
    </w:p>
    <w:p>
      <w:r>
        <w:t>a. En l’occurrence, l’OAI, en présence d’une assurée ayant un statut de ménagère à 100 %, a fait procéder à une enquête économique sur le ménage, laquelle tient compte des limitations fonctionnelles retenues par le SMR dans son avis du 21 décembre 2016, reconnues comme entraînant une incapacité de travail totale de la recourante dans toute activité depuis le 27 avril 2015, soit « pas de port de charges lourdes de plus de 5 kg, pas de position statique ni de marche prolongées, pas de travail en antéflexion du tronc, pas de travail en porte-à-faux du rachis cervico-dorso-lombaire ». b. La recourante conteste, d’une part, le taux d’empêchement pondéré total retenu par l’enquête, soit 41.9 %, et, d’autre part, le taux d’exigibilité des membres de la famille de 31.9 %. ba. En particulier, la recourante estime qu’elle subit un empêchement dans la conduite du ménage de 50 % ; cependant, elle ne motive pas ce taux par l’existence de limitations fonctionnelles ; en outre, elle ne conteste pas ne pas avoir de limitation sur le plan psychique ou organisationnel, domaine nécessaire pour effectuer une conduite du ménage efficace ; elle prétend ensuite à un empêchement</w:t>
      </w:r>
    </w:p>
    <w:p>
      <w:r>
        <w:t>A/2699/2017 - 11/13 - de 75 % au lieu de 30 % dans le domaine de l’alimentation, au motif qu’il est difficilement admissible d’exiger d’elle qu’elle cuisine les repas, mette la table ou lave la vaisselle ; or, les enquêtrices ont estimé que la recourante pouvait participer à la préparation des repas en alternant les positions et en fractionnant son travail, ce que la recourante ne conteste pas de façon convaincante ; la recourante évalue par ailleurs ses empêchements dans le domaine des emplettes et courses à 50 % au lieu de 40 %, en mentionnant qu’elle ne peut plus participer activement aux courses mais qu’elle accompagne son époux lorsque ses douleurs sont supportables ; or, les enquêtrices ont tenu compte de cette situation pour retenir un empêchement de 40 %, de sorte qu’une modification de celui-ci n’est pas justifiée ; enfin, la recourante estime que ses empêchements dans le domaine de la lessive et l’entretien des vêtements est de 50 % au lieu de 40 %, au motif que ces travaux sont pénibles, notamment le repassage et le pliage des habits ; à cet égard, les enquêtrices ont tenu compte du fait que la famille possédait une machine à laver et un séchoir et que la recourante devait pouvoir suspendre les petites pièces sur un étendage à sa hauteur et plier et ranger le linge en alternant les positions et en fractionnant son travail, ce qui n’est pas contesté par la recourante de façon convaincante. Au vu de ce qui précède, il n’y a pas de motif de remettre en cause le taux d’empêchement pondéré total de 41.9 % retenu par les enquêtrices. bb. S’agissant de l’exigibilité des membres de la famille, la recourante invoque une modification de la situation familiale, son époux ayant débuté le 1er juin 2017 une activité lucrative à 100 % et son fils aîné ayant quitté le domicile familial pour un lieu d’habitation inconnu ; quant à son fils cadet, elle estime qu’il doit se concentrer sur ses études et ne saurait, pour cette raison, être sollicité. Il convient à cet égard de constater que l’activité lucrative de l’époux de la recourante a débuté postérieurement à la décision litigieuse du 31 mai 2017, de sorte qu’il ne peut être pris en considération ; en effet, de jurisprudence constante, le juge apprécie en règle générale la légalité des décisions entreprises d'après l'état de fait existant au moment où la décision litigieuse a été rendue (ATF 131 V 242 consid. 2.1 p. 243; 121 V 362 consid. 1b p. 366), les faits survenus postérieurement, et qui ont modifié cette situation, devant en principe faire l'objet d'une nouvelle décision administrative (ATF 121 V 362 consid. 1b p. 366). Concernant son fils aîné, la recourante ne conteste pas qu’il est toujours actuellement domicilié à son adresse, de sorte qu’il n’y a pas de motif permettant de limiter l’exigibilité retenue à son égard, ce d’autant que la recourante n’a pas pu indiquer où son fils logerait actuellement. Enfin, l’aide du fils cadet a été retenue par l’enquêtrice dans une mesure limitée, en relevant qu’il était en âge de participer à certaines tâches seulement. Il n’y a donc pas de raison de s’écarter de cette appréciation. Cela dit, la chambre de céans constate que le taux d’exigibilité des membres de la famille fixé par l’enquête économique sur le ménage est effectivement important</w:t>
      </w:r>
    </w:p>
    <w:p>
      <w:r>
        <w:t>A/2699/2017 - 12/13 - puisqu’il oscille entre 30 % (domaines de l’alimentation, de l’entretien du logement) à 40 % (domaines des emplettes et courses diverses et de la lessive et entretien des vêtements). Cependant, même si l’exigibilité était réduite de moitié, soit respectivement de</w:t>
      </w:r>
    </w:p>
    <w:p>
      <w:r>
        <w:rPr>
          <w:b/>
        </w:rPr>
        <w:t>E. 15</w:t>
      </w:r>
    </w:p>
    <w:p>
      <w:r>
        <w:t>% et de 20 %, l’empêchement pondéré total n’atteindrait pas le taux de 40 % nécessaire pour l’ouverture du droit aux prestations (mais seulement 25.95 %). c. Partant, la décision litigieuse ne peut qu’être confirmée et le recours rejeté. 12. Etant donné que depuis le 1er juillet 2006, la procédure n'est plus gratuite (art. 69 al. 1bis LAI), il y a lieu de condamner la recourante au paiement d'un émolument de CHF 200.-.</w:t>
      </w:r>
    </w:p>
    <w:p>
      <w:r>
        <w:t>A/2699/2017 - 13/13 -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