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ATAS/969/2014 vom 3. September 2014</w:t>
      </w:r>
    </w:p>
    <w:p>
      <w:r>
        <w:t>GE Cour de justice, 2014-09-03, FR</w:t>
      </w:r>
    </w:p>
    <w:p>
      <w:r>
        <w:rPr>
          <w:b/>
        </w:rPr>
        <w:t xml:space="preserve">Quelle: </w:t>
      </w:r>
      <w:r>
        <w:t>https://mcp.opencaselaw.ch/entscheid/ge_gerichte_ATAS_969_2014</w:t>
      </w:r>
    </w:p>
    <w:p>
      <w:r>
        <w:t>FR: GE_GERICHTE ATAS/969/2014 du 3 septembre 2014</w:t>
      </w:r>
    </w:p>
    <w:p>
      <w:r>
        <w:t>IT: GE_GERICHTE ATAS/969/2014 del 3 settembre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t>A/2044/2013 - 9/12 -</w:t>
      </w:r>
    </w:p>
    <w:p>
      <w:r>
        <w:rPr>
          <w:b/>
        </w:rPr>
        <w:t>E. 4</w:t>
      </w:r>
    </w:p>
    <w:p>
      <w:r>
        <w:t>Interjeté dans la forme et le délai prévus par la loi, le recours est recevable (art. 56 et 60 al. 1 LPGA ; art. 89B de la loi sur la procédure administrative du 12 septembre 1985 – LPA, RS/GE E 5 10).</w:t>
      </w:r>
    </w:p>
    <w:p>
      <w:r>
        <w:rPr>
          <w:b/>
        </w:rPr>
        <w:t>E. 5</w:t>
      </w:r>
    </w:p>
    <w:p>
      <w:r>
        <w:t>Le litige porte sur le point de savoir si l’état de santé de la recourante, respectivement sa capacité de gain, s’est modifié depuis la décision de refus de prestations, dans une mesure influençant ses droits.</w:t>
      </w:r>
    </w:p>
    <w:p>
      <w:r>
        <w:rPr>
          <w:b/>
        </w:rPr>
        <w:t>E. 6</w:t>
      </w:r>
    </w:p>
    <w:p>
      <w:r>
        <w:t>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art. 87 al. 2 et 3 dès le 1er janvier 2012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 l'administration est entrée en matière selon l'art. 87 al. 4 en lien avec l'al. 3 RAI, il convient d'examiner, par analogie avec l'art. 17 LPGA (ATF 130 V 71 consid. 3.2 p. 75ss), si entre la décision de refus de prestations entrée en force et la décision litigieuse, un changement important des circonstances propre à influencer le degré d'invalidité, et donc le droit à la rente, s'est produit (ATF 130 V 343 consid. 3.5.2 p. 351).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w:t>
      </w:r>
    </w:p>
    <w:p>
      <w:r>
        <w:t>A/2044/2013 - 10/12 -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a) Préalablement, la chambre de céans constate que l’intimé est entré en matière sur la nouvelle demande de la recourante, de sorte qu’il a admis que celle-ci avait rendu plausible une modification de son invalidité. b) En l’espèce, il convient de comparer les faits tels qu’ils existaient au moment de la décision de refus de rente du 28 février 2008, entrée en force, et ceux prévalant lors de la décision querellée. Lors de la première décision de refus, l’intimé s’était fondé sur les rapports des Drs C______, D______ et F______ qui concluaient à une capacité de travail de 100% dans une activité respectant les limitations fonctionnelles, soit dans une activité exempte de poussières, de particules aéroportées ou de gaz irritants, sans port de charges, ni station debout prolongée et sans mouvements répétitifs du rachis. L’intimé a retenu que la recourante souffrait de troubles respiratoires en rapport avec une allergie à la poussière et troubles ostéo-articulaires. L’obésité et l’état dépressif n’étaient pas incapacitants selon le SMR. A l’appui de sa demande de révision, la recourante invoque une aggravation de son état de santé, notamment sur le plan psychiatrique. Le Dr G______, psychiatre traitant depuis le 12 février 2008, a diagnostiqué un trouble dépressif récurrent, épisode actuel sévère, ayant nécessité un traitement médicamenteux et un suivi hebdomadaire. L’incapacité de travail en découlant est de 100 % depuis le 12 février 2008. Sur le plan somatique, les médecins attestent une aggravation des lombalgies basses depuis fin 2007 secondaires à une discopathie sévère, un syndrome de micro- instabilité L5-S1, une arthrose facettaire postérieure, une obésité et un déconditionnement physique depuis 2008 (cf. rapports des Drs H______, D______ et F______). Selon le rapport d’expertise bidisciplinaire du 5 mai 2011, au vu des limitations fonctionnelles dues à des rachialgies chroniques et des troubles disco-dégénératifs du rachis lombaire, la capacité de travail est entière dans une activité adaptée, la recourante ne présentant pas d’atteinte dépressive significative. Les experts n’ont pas précisé si l’état de santé s’était aggravé depuis 2008.</w:t>
      </w:r>
    </w:p>
    <w:p>
      <w:r>
        <w:t>Postérieurement à l’expertise, la recourante a été suivie par le Dr DI L______, psychiatre, lequel a diagnostiqué un état dépressif récurrent, épisode actuel sévère. L’incapacité de travail était totale dans l’activité antérieure, depuis décembre 2006 et la capacité de travail dans une activité adaptée devait être évaluée par l’intimé. Sur le plan somatique, le Dr H______ fait état d’une IRM lombaire pratiquée le 31</w:t>
      </w:r>
    </w:p>
    <w:p>
      <w:r>
        <w:t>A/2044/2013 - 11/12 - mai 2012 qui a montré notamment une protrusion discale et une arthrose sévère. La capacité de travail est de 50% dans l’activité habituelle, avec toutefois des difficultés déjà après 2 ou 3 jours. En outre, la recourante a versé à la procédure un rapport du Dr M______ qui relève une prise de poids importante entre 2006 et 2008 et à nouveau les deux dernières années, avec des troubles du comportement alimentaire. Ces éléments n’ont pas été discutés par les experts, puisqu’ils sont postérieurs à leur expertise du 5 mai 2011.</w:t>
      </w:r>
    </w:p>
    <w:p>
      <w:r>
        <w:t>De l’avis du SMR, il convient d’investiguer sur le plan médical, vu l’ancienneté des documents médicaux. L’intimé s’y refuse pourtant, de manière incompréhensible. En effet, la recourante a rendu plausible une aggravation de son état de santé, il est fait état de nouveaux diagnostics, l’IRM lombaire fait état d’une arthrose sévère. Les circonstances ne semblent plus être les mêmes, il est fait allusion aussi à des troubles alimentaires. Enfin, il convient de relever l’échec de la réinsertion professionnelle mise en place en 2012, les EPI ayant conclu à l’impossibilité d’occuper un emploi à 100% dans le circuit économique normal, de même que le service de réadaptation de l’intimé qui a clos le mandat de placement le 13 janvier 2013, pour les mêmes motifs. L’intimé ne peut ainsi pas se référer à l’expertise du 5 mai 2011 pour conclure que la recourante n’avait pas rendu vraisemblable que les conditions de fait s’étaient modifiées. Au vu des nouveaux éléments, il était tenu de procéder à une clarification de la situation médicale. En l’état actuel du dossier, la chambre de céans n’est pas en mesure tirer des conclusions définitives quant à l’évolution de la situation sur le plan médical et de ses conséquences sur la capacité de travail de la recourante depuis la décision du 28 février 2008. Il incombera par conséquent à l’intimé – qui a failli à son devoir d’instruire - de procéder à des investigations médicales complémentaires, comme le SMR le suggère, cas échéant sous forme d’une nouvelle expertise, afin de déterminer clairement s’il y a eu aggravation et/ou une modification des circonstances et quelles en sont les répercussions sur la capacité de travail de la recourante.</w:t>
      </w:r>
    </w:p>
    <w:p>
      <w:r>
        <w:rPr>
          <w:b/>
        </w:rPr>
        <w:t>E. 8</w:t>
      </w:r>
    </w:p>
    <w:p>
      <w:r>
        <w:t>Au vu de ce qui précède, le recours est admis partiellement.</w:t>
      </w:r>
    </w:p>
    <w:p>
      <w:r>
        <w:rPr>
          <w:b/>
        </w:rPr>
        <w:t>E. 9</w:t>
      </w:r>
    </w:p>
    <w:p>
      <w:r>
        <w:t>La recourante a droit à une indemnité à titre de participation à ses frais et dépens, que la chambre de céans fixe en l’espèce à CHF 2'500.- (cf. art. 61 let. g LPGA ; art. 89H de la loi sur la procédure administrative du 12 septembre 1985 – LPA ; RS E 5 10 ; art. 6 du règlement sur les frais, émoluments et indemnités en procédure administrative du 30 juillet 1986 - RFPA ; RS E 5 10.03).</w:t>
      </w:r>
    </w:p>
    <w:p>
      <w:r>
        <w:rPr>
          <w:b/>
        </w:rPr>
        <w:t>E. 10</w:t>
      </w:r>
    </w:p>
    <w:p>
      <w:r>
        <w:t>Au vu du sort du litige, l’émolument, arrêté à CHF 500.-, est mis à la charge de l’intimé (art. 69al. 1bis LAI). PAR CES MOTIFS, LA CHAMBRE DES ASSURANCES SOCIALES :</w:t>
      </w:r>
    </w:p>
    <w:p>
      <w:r>
        <w:t>A/2044/2013 - 12/12 -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