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ATAS/969/2013 vom 1. Oktober 2013</w:t>
      </w:r>
    </w:p>
    <w:p>
      <w:r>
        <w:t>GE Cour de justice, 2013-10-01, FR</w:t>
      </w:r>
    </w:p>
    <w:p>
      <w:r>
        <w:rPr>
          <w:b/>
        </w:rPr>
        <w:t xml:space="preserve">Quelle: </w:t>
      </w:r>
      <w:r>
        <w:t>https://mcp.opencaselaw.ch/entscheid/ge_gerichte_ATAS_969_2013</w:t>
      </w:r>
    </w:p>
    <w:p>
      <w:r>
        <w:t>FR: GE_GERICHTE ATAS/969/2013 du 1 octobre 2013</w:t>
      </w:r>
    </w:p>
    <w:p>
      <w:r>
        <w:t>IT: GE_GERICHTE ATAS/969/2013 del 1 ottobre 2013</w:t>
      </w:r>
    </w:p>
    <w:p>
      <w:pPr>
        <w:pStyle w:val="Heading2"/>
      </w:pPr>
      <w:r>
        <w:t>Erwägungen</w:t>
      </w:r>
    </w:p>
    <w:p>
      <w:r>
        <w:rPr>
          <w:b/>
        </w:rPr>
        <w:t>E. 10</w:t>
      </w:r>
    </w:p>
    <w:p>
      <w:r>
        <w:t>L'OAI a transmis à l'assuré son projet de décision le 22 juin 2012, aux termes duquel sa demande était rejetée, compte tenu d'un degré d'invalidité inférieur à 40%.</w:t>
      </w:r>
    </w:p>
    <w:p>
      <w:r>
        <w:t>A/2992/2012 - 5/17 -</w:t>
      </w:r>
    </w:p>
    <w:p>
      <w:r>
        <w:rPr>
          <w:b/>
        </w:rPr>
        <w:t>E. 11</w:t>
      </w:r>
    </w:p>
    <w:p>
      <w:r>
        <w:t>L'assuré s'est opposé à ce projet de décision le 28 juin 2012. Il conteste le taux d'incapacité de travail retenu par l'OAI, précisant que "très loin de rester stationnaire, mes séquelles s'empirent avec le temps. J'ai d'ailleurs subi une intervention chirurgicale cardiaque, sans parler d'autres paramètres locomoteurs. Je pourrai sans problème me soumettre à une nouvelle expertise". S'agissant de l'évaluation théorique de sa capacité de gain, il rappelle que depuis le 5 mars 2012, il ne perçoit plus les indemnités de son assurance perte de gain. Jusque-là, il avait été en mesure "de rester en égaux montants de revenus", ce qui n'était plus le cas à présent.</w:t>
      </w:r>
    </w:p>
    <w:p>
      <w:r>
        <w:rPr>
          <w:b/>
        </w:rPr>
        <w:t>E. 12</w:t>
      </w:r>
    </w:p>
    <w:p>
      <w:r>
        <w:t>Par décision du 4 septembre 2012, l'OAI a confirmé son projet.</w:t>
      </w:r>
    </w:p>
    <w:p>
      <w:r>
        <w:rPr>
          <w:b/>
        </w:rPr>
        <w:t>E. 13</w:t>
      </w:r>
    </w:p>
    <w:p>
      <w:r>
        <w:t>L'assuré, représenté par Me Monique STOLLER FÜLLEMANN, a interjeté recours le 5 octobre 2012 contre ladite décision. Il rappelle que depuis l'expertise du Dr B__________, aucun autre rapport médical ne figure dans le dossier de l'OAI, qu'il a été indemnisé par son assurance-maladie perte de gain jusqu'au 3 mars 2012, et que, selon le rapport d'enquête pour activité professionnelle indépendante, il a pu limiter son préjudice économique à 25% dans son activité habituelle en 2010. Il produit un courrier du Dr A__________ daté du 17 septembre 2012, selon lequel "sa situation en rapport avec les séquelles de son accident de décompression s'aggrave subjectivement avec une fatigabilité augmentée de sa jambe gauche, ainsi que des douleurs qui sont plus importantes qu'auparavant. Son incapacité de travail notifiée à 60% depuis le 10 mars 2010 est toujours d'actualité, compte tenu de sa profession, et il est clairement limité dans son activité professionnelle. En effet, il ne peut faire de la plongée comme auparavant, et plusieurs situations professionnelles lui sont difficiles, comme donner des cours de premiers secours, etc. (…). Je pense qu'il serait important de demander un rapport circonstancié à son neurologue traitant, le Dr D__________, pour qu'il refasse le point sur l'état neurologique de l'assuré". L'assuré conclut, principalement, à la prise en charge d'un reclassement professionnel et, subsidiairement, à l'octroi d'une rente.</w:t>
      </w:r>
    </w:p>
    <w:p>
      <w:r>
        <w:rPr>
          <w:b/>
        </w:rPr>
        <w:t>E. 14</w:t>
      </w:r>
    </w:p>
    <w:p>
      <w:r>
        <w:t>Dans sa réponse du 14 décembre 2012, l'OAI a relevé que le recourant n'apportait aucun élément permettant de remettre en cause les conclusions prises par le Dr B__________, étant rappelé que le rapport du Dr D__________ est postérieur à la décision querellée. Il joint à cet égard la note établie par le médecin du SMR le 3 décembre 2012, aux termes de laquelle "compte tenu de tous les éléments exposés ci-dessus, sur le plan médical, l'exigibilité de 40% dans l'activité habituelle est toujours d'actualité (depuis mars 2010), de l'avis même du Dr A__________, spécialiste en charge de l'assuré et l'évolution de l'état de santé de l'assuré n'a jamais nécessité une réévaluation. Nous constatons que la consultation de neurologie auprès du Dr D__________ intervient</w:t>
      </w:r>
    </w:p>
    <w:p>
      <w:r>
        <w:t>A/2992/2012 - 6/17 - en tout cas après le 17 septembre 2012, date à laquelle le Dr A__________ propose une réévaluation de la situation." Il conclut au rejet du recours.</w:t>
      </w:r>
    </w:p>
    <w:p>
      <w:r>
        <w:rPr>
          <w:b/>
        </w:rPr>
        <w:t>E. 15</w:t>
      </w:r>
    </w:p>
    <w:p>
      <w:r>
        <w:t>Le 20 mars 2013, l'assuré a produit un nouveau rapport du Dr A__________ du 15 mars 2013 qui atteste d'une aggravation notable de son état de santé depuis l'expertise du 21 juillet 2010. L'assuré demande dès lors que l'instruction médicale soit complétée, notamment sous forme d'une expertise. Il conteste par ailleurs le calcul de la perte de gain. Il souligne plus particulièrement que le résultat de l'exercice 2012 s'élève à 26'112 fr. 10, ce qui représente une perte de gain de 66% par rapport au revenu sans invalidité.</w:t>
      </w:r>
    </w:p>
    <w:p>
      <w:r>
        <w:rPr>
          <w:b/>
        </w:rPr>
        <w:t>E. 16</w:t>
      </w:r>
    </w:p>
    <w:p>
      <w:r>
        <w:t>Invité à se déterminer, le SMR a constaté que - "dès le 17 septembre 2012, le Dr A__________ demande une réévaluation médicale de l'état neurologique de l'assuré, car plusieurs situations professionnelles sont difficiles pour lui. - le 10 octobre 2012, l'assuré est examiné par le Dr D__________, son neurologue traitant. Nous précisons que la copie de cette consultation ne nous a pas été transmise. - le 15 mars 2013, le Dr A__________ indique que l'état de santé de l'assuré s'est aggravé depuis la précédente expertise neurologique du Dr B__________, et il estime que l'assuré présente maintenant une capacité de travail de 60% dans toutes activités". Le SMR, soulignant qu' "au moment de la décision, nous ne disposions d'aucun élément médical susceptible de modifier l'appréciation médicale de l'expertise neurologique du Dr B__________", considère que celle-ci reste justifiée, étant précisé toutefois qu'une nouvelle instruction sera nécessaire pour réévaluer la situation médicale de l'assuré après le 4 septembre 2012. Dans ses écritures du 30 avril 2013, l'OAI, se fondant expressément sur cet avis du SMR, a persisté dans ses conclusions.</w:t>
      </w:r>
    </w:p>
    <w:p>
      <w:r>
        <w:rPr>
          <w:b/>
        </w:rPr>
        <w:t>E. 17</w:t>
      </w:r>
    </w:p>
    <w:p>
      <w:r>
        <w:t>Le 23 mai 2013, l'assuré a rappelé que, dans son courrier du 28 juin 2012, il avait déjà signalé que ses séquelles avaient empiré, et proposé de se soumettre à une nouvelle expertise. Il indique qu'il a produit des justificatifs relatifs à l'évolution de son état de santé (rapports du Dr A__________ des 17 septembre 2012 et 15 mars 2013), selon lesquels son état de santé s'est notablement modifié depuis l'expertise du 21 juillet 2010. Aussi ne peut-on que constater, selon l'assuré, que l'aggravation de son état de santé n'est pas postérieure à la décision du 4 septembre 2012.</w:t>
      </w:r>
    </w:p>
    <w:p>
      <w:r>
        <w:t>A/2992/2012 - 7/17 -</w:t>
      </w:r>
    </w:p>
    <w:p>
      <w:r>
        <w:rPr>
          <w:b/>
        </w:rPr>
        <w:t>E. 18</w:t>
      </w:r>
    </w:p>
    <w:p>
      <w:r>
        <w:t>Le 18 septembre 2013, à la demande de la Cour de céans, l’assuré a transmis copie du courrier du Dr D__________ daté du 28 novembre 2012. Le médecin rappelle que sur le plan fonctionnel, les limitations actuelles sont la persistance d’une faiblesse des membres inférieurs, prédominant à gauche lors d’une longue marche ou lors d’une station prolongée debout, et que le médecin traitant a estimé son taux d’invalidité à 60%. Il indique qu’en 2009, l’assurée avait essayé de reprendre son activité professionnelle de voyagiste, que s’agissant de trekking et plongée pour personnes très entraînées, il n’est plus en mesure de fournir un tel effort physique et a renoncé définitivement à plonger en raison d’accès d’angoisse et de difficultés pour porter le matériel. Le Dr D__________ toutefois déclare que « je ne quantifierai pas la capacité de travail dans l’activité de voyagiste indépendant comme il l’entend, mais l’expérience conduite par l’assuré en 2009 illustre bien le handicap et son désir de reprendre une activité. Sa capacité quant à une activité adaptée devrait être entière compte tenu de ses ressources. Par ailleurs, je ne pense pas que l’état de santé de l’assuré se soit aggravé depuis l’expertise du Dr P. B__________, l’état actuel est plus le reflet de son handicap face à une situation qui exigerait une pleine capacité physique. Dans la situation actuelle, il est légitime d’envisager une contre-expertise. »</w:t>
      </w:r>
    </w:p>
    <w:p>
      <w:r>
        <w:rPr>
          <w:b/>
        </w:rPr>
        <w:t>E. 19</w:t>
      </w:r>
    </w:p>
    <w:p>
      <w:r>
        <w:t>Les deux courriers de l’assuré ont été transmis à l’OAI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en temps utile, le présent recours est recevable (art. 39 al. 1 et 60 al. 2 LPGA). 3. Le litige porte sur le droit de l'assuré à des mesures de réadaptation professionnelle ou d'une rente. 4. 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w:t>
      </w:r>
    </w:p>
    <w:p>
      <w:r>
        <w:t>A/2992/2012 - 8/17 -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w:t>
      </w:r>
    </w:p>
    <w:p>
      <w:r>
        <w:t>A/2992/2012 - 9/17 -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En outre, l’octroi d’un reclassement présuppose l’aptitude de la personne invalide à la réadaptation (RCC 1992 386, p. 389).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 5. Il y a dès lors lieu de déterminer le taux d'incapacité de travail que présente l'assuré. 6.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w:t>
      </w:r>
    </w:p>
    <w:p>
      <w:r>
        <w:t>A/2992/2012 - 10/17 -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7. 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A/2992/2012 - 11/17 -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w:t>
      </w:r>
    </w:p>
    <w:p>
      <w:r>
        <w:t>A/2992/2012 - 12/17 - 504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8. En l'espèce, l'OAI, se fondant sur l'expertise du Dr B__________, a considéré que l'assuré était capable de travailler à 40 % dans son activité antérieure et qu'il pouvait en revanche travailler à plein temps dans une activité sédentaire adaptée à son état de santé. L'assuré allègue que son état de santé s'est aggravé depuis l'examen pratiqué par le Dr B__________. Il en veut pour preuve les rapports du Dr A__________ des 17 septembre 2012 et 15 mars 2013. 9. Selon l'OAI toutefois, l'aggravation alléguée étant postérieure à la décision litigieuse, elle ne saurait être examinée que dans le cadre d'une nouvelle instruction. Il rappelle à cet égard que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Certes les rapports ont-ils été établis les 17 septembre 2012 et 15 mars 2013, soit après que la décision litigieuse ait été rendue, il y a toutefois lieu de constater que le Dr A__________ y fait état d'une aggravation survenue depuis l'expertise du 21 juillet 2010. Au surplus dans son courrier du 28 juin 2012, l'assuré évoquait déjà une aggravation des séquelles dont il souffrait. Il s'agit ainsi d'examiner la teneur de ces rapports.</w:t>
      </w:r>
    </w:p>
    <w:p>
      <w:r>
        <w:t>A/2992/2012 - 13/17 - Dans celui du 17 septembre 2012, le Dr A__________ fait état d'une fatigabilité plus grande et de douleurs importantes. Il parle cependant d'une aggravation subjective et confirme le taux de 60 % d'incapacité de travail depuis mars 2010, qu'il avait indiqué précédemment, "compte tenu de sa profession". Il suggère en revanche une réévaluation neurologique par le Dr D__________. Or, le Dr D__________, dans son courrier du 28 novembre 2012 adressé à la mandataire de l’assuré, a estimé que la capacité de travail quant à une activité adaptée devrait être entière compte tenu de ses ressources. Dans son rapport plus récent du 15 mars 2013, le Dr A__________ estime enfin l'incapacité de travail à 60%, quelle que soit l'activité envisagée. Force est ainsi de constater que le Dr A__________ considère que l'aggravation alléguée n'engendre une incapacité de travail de 60%, dans une activité adaptée également, que dans son rapport du 15 mars 2013. Il avait jusque-là indiqué un taux de 60% d'incapacité de travail dans l'activité antérieurement exercée. Il y a également lieu de relever que ce n'est que lorsque l'assuré conteste le projet de décision du 22 juin 2012, qu'il fait état de limitations physiques, de sa fatigue qui augmente rapidement, même en situation statique, et des douleurs et problèmes liés à des séquelles. De plus, l'enquête pour activité professionnelle indépendante, réalisée le 23 février 2012, soit après l'expertise du Dr B__________, indique qu'"une activité de bureau / secrétaire est envisageable. Il doit organiser cette reconversion professionnelle". Les conclusions du Dr B__________, qui ont au demeurant valeur probante, restent dès lors applicables en l'état, aucun élément ne permettant de les remettre en cause. Il convient ainsi de retenir une capacité de travail entière dans une activité adaptée. Demeure cependant réservée la question d’une éventuelle aggravation de l’état de santé. Cette question devra faire l’objet d’une instruction complémentaire par l’OAI, auquel la cause sera renvoyée. 10. 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w:t>
      </w:r>
    </w:p>
    <w:p>
      <w:r>
        <w:t>A/2992/2012 - 14/17 - rapport à un même moment et les modifications de ces revenus susceptibles d'influencer le droit à la rente, survenues jusqu'au moment où la décision est rendue, doivent être prises en compte (ATF 129 V 223 consid. 4.1, 128 V 174).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w:t>
      </w:r>
    </w:p>
    <w:p>
      <w:r>
        <w:t>A/2992/2012 - 15/17 -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Pour évaluer le revenu sans invalidité, on examine le développement probable qu’aurait suivi l’entreprise de l’assuré si celui-ci n’était pas devenue invalide (RCC 1963 p. 427).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On fait abstraction du revenu qui ne proviendrait pas de l’activité propre de la personne handicapée (intérêt du capital engagé dans l’entreprise, part du revenu attribuable à la collaboration des proches [ch. 3033], etc.; RCC 1962 p. 481).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w:t>
      </w:r>
    </w:p>
    <w:p>
      <w:r>
        <w:t>A/2992/2012 - 16/17 - de se prononcer sur le revenu réel (ATF 8C_9/2009 ; Circulaire sur l'invalidité et l'impotence dans l’assurance-invalidité (CIIAI), nos 3029 à 3032). Lorsqu’on ne peut établir une diminution importante, pour cause d’invalidité, du revenu de l’entreprise d’une personne indépendante, laquelle continue à travailler dans l’entreprise,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(CIIAI, n° 3070). 11. En l'espèce, l'assuré a présenté de manière prolongée une incapacité de travail de plus de 40% dès mars 2010, de sorte que le droit éventuel à la rente est né en mars 2011 (art. 29 al. 1 LAI). Pour procéder à la comparaison des revenus, c'est par conséquent l'année 2010 qui est déterminante, les revenus avec et sans invalidité devant être déterminés par rapport à cette même année. Pour calculer le revenu annuel brut sans invalidité, l'OAI s'est en l'espèce fondé sur un montant de 49'118 fr., soit la moyenne des revenus réalisés par l'assuré en 2006 et 2007 dans le cadre de son activité indépendante et réactualisée à l'année 2010. Quant au revenu d'invalide, la Cour de céans constate que l'assuré a réalisé en 2012 un revenu de 26'112 fr. On ignore le revenu 2011. Il est vrai que si l'on compare ce montant avec le revenu sans invalidité, on obtient un degré d'invalidité de 47%. Il y a toutefois lieu de rappeler que l’activité indépendante n’apparaît pas, du point de vue médical, adaptée à l’état de santé de l'assuré, comme exposé ci-dessus. Or, les revenus d’une activité lucrative que l’on ne peut raisonnablement exiger sont en principe exclus du calcul (cf. chiffre 3061 ss de la Circulaire concernant l’invalidité et l’impotence dans l’assurance-invalidité - CCIAI), de sorte qu'il convient de se fonder sur les statistiques résultant de l’Enquête suisse sur la structure des salaires (ESS) publiée par l’Office fédéral de la statistique. C'est ainsi à juste titre que l'OAI a retenu le chiffre de 61'164 fr. (cf. ESS 2010, tableau TA1, niveau 4). Il a également tenu compte d'une réduction supplémentaire de 15% en raison des nombreuses années travaillées par l'assuré au sein de son entreprise et de ses limitations fonctionnelles. Un tel abattement apparaît approprié. Le revenu d’invalide s’élève ainsi à 51'990 fr. La comparaison des revenus avant et après l'invalidité à laquelle a procédé l'OAI, n'est dès lors pas critiquable, de sorte que le calcul ne peut qu'être confirmé. Force est ainsi de constater que le recourant présente en l'état un degré d’invalidité insuffisant pour ouvrir le droit des mesures de réadaptation professionnelle ou à une rente d'invalidité.</w:t>
      </w:r>
    </w:p>
    <w:p>
      <w:r>
        <w:t>A/2992/2012 - 17/17 - Aussi le recours ne peut-il être que rejeté.</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