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ATAS/968/2017 vom 30. Oktober 2017</w:t>
      </w:r>
    </w:p>
    <w:p>
      <w:r>
        <w:t>GE Cour de justice, 2017-10-30, FR</w:t>
      </w:r>
    </w:p>
    <w:p>
      <w:r>
        <w:rPr>
          <w:b/>
        </w:rPr>
        <w:t xml:space="preserve">Quelle: </w:t>
      </w:r>
      <w:r>
        <w:t>https://mcp.opencaselaw.ch/entscheid/ge_gerichte_ATAS_968_2017</w:t>
      </w:r>
    </w:p>
    <w:p>
      <w:r>
        <w:t>FR: GE_GERICHTE ATAS/968/2017 du 30 octobre 2017</w:t>
      </w:r>
    </w:p>
    <w:p>
      <w:r>
        <w:t>IT: GE_GERICHTE ATAS/968/2017 del 30 ottobre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Sur le plan matériel, conformément à l’art. 1A al. 2 LPCC, les prestations complémentaires familiales sont régies par les dispositions figurant aux titres IIA et III de la LPCC, les dispositions de la LPC auxquelles la LPCC renvoie expressément, les dispositions d'exécution de la loi fédérale désignées par règlement du Conseil d'Etat et la LPGA.</w:t>
      </w:r>
    </w:p>
    <w:p>
      <w:r>
        <w:rPr>
          <w:b/>
        </w:rPr>
        <w:t>E. 3</w:t>
      </w:r>
    </w:p>
    <w:p>
      <w:r>
        <w:t>Interjeté dans les délai et forme prévus par la loi, le recours est recevable (art. 43 LPCC; art. 89B et 89C let. b de la loi sur la procédure administrative du 12 septembre 1985 – LPA/GE - E 5 10).</w:t>
      </w:r>
    </w:p>
    <w:p>
      <w:r>
        <w:rPr>
          <w:b/>
        </w:rPr>
        <w:t>E. 4</w:t>
      </w:r>
    </w:p>
    <w:p>
      <w:r>
        <w:t>L’objet du litige porte sur le calcul des prestations complémentaires familiales dues à la recourante, singulièrement sur la question de la prise en compte d’un gain hypothétique pour l’époux de celle-ci.</w:t>
      </w:r>
    </w:p>
    <w:p>
      <w:r>
        <w:rPr>
          <w:b/>
        </w:rPr>
        <w:t>E. 5</w:t>
      </w:r>
    </w:p>
    <w:p>
      <w:r>
        <w:t>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définissant les exceptions (let. d); répondent aux autres conditions prévues par la loi (let. e). Selon l’art. 36A al. 4 et 5 LPCC pour bénéficier des prestations, le taux de l'activité lucrative mentionnée à l'article 36A, alinéa 1, lettre c, doit être, par année, au minimum de : 40% lorsque le groupe familial comprend une personne adulte (al. 4</w:t>
      </w:r>
    </w:p>
    <w:p>
      <w:r>
        <w:t>A/2398/2017 - 4/10 - let. a) et de 90% lorsque le groupe familial comprend deux personnes adultes (al. 4 let. b). Aux fins de la présente loi, les personnes qui touchent des indemnités en application de la loi fédérale sur l'assurance-chômage obligatoire et l'indemnité en cas d'insolvabilité, du 25 juin 1982, sont assimilées aux personnes exerçant une activité lucrative (al. 5). Selon l’art. 36B LPCC, le revenu minimum cantonal d'aide sociale garanti aux familles, destiné à la couverture des besoins vitaux, est basé sur le montant fixé à l'article 3, alinéa 1, de la présente loi (al. 1). Ce montant est multiplié, selon le nombre de personnes comprises dans le groupe familial, par le coefficient prévu par la législation sur l'aide sociale individuelle et fixé par règlement du Conseil d'Etat (al. 2).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 L'art. 36E al. 1 à 5 LPCC prescrit que le revenu déterminant est calculé conformément à l'art. 11 LPC, moyennant les adaptations suivantes : les ressources en espèces ou en nature provenant de l'exercice d'une activité lucrative sont intégralement prises en compte (al. 1 let. a); le revenu déterminant est augmenté d'un cinquième de la fortune calculée en application de l'art. 7 de la présente loi (al. 1 let. b).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 36B, al. 2 (al. 3). En cas d’augmentation du revenu d’une activité lucrative sans modification du taux d’activité, la détermination du gain hypothétique est précisée par règlement du Conseil d’Etat, de manière à éviter une diminution du revenu disponible (al. 4). Il n'est pas tenu compte d'un gain hypothétique lorsque le groupe familial est constitué d'un seul adulte faisant ménage commun avec un enfant âgé de moins d'un an (al. 5). Aux termes de l'art. 36F LPCC, les dépenses reconnues sont celles énumérées par l'art. 10 LPC et ses dispositions d'exécution, à l'exclusion du montant destiné à la couverture des besoins vitaux, qui est remplacé par le montant destiné à garantir le revenu minimum cantonal d'aide sociale défini à l'art. 36B LPCC (let. a) et du loyer ainsi que des charges fixés par règlement du Conseil d'Etat (let. b). Selon l’art. 16 al. 1 du règlement relatif aux prestations complémentaires familiales du 27 juin 2012 (RPCFam - J 4 25.04), il n'est pas tenu compte du gain hypothétique au sens de l'article 36E, alinéa 5, de la loi lorsque l'adulte seul qui fait</w:t>
      </w:r>
    </w:p>
    <w:p>
      <w:r>
        <w:t>A/2398/2017 - 5/10 - ménage commun avec un enfant de moins d'un an exerce une activité lucrative salariée au sens de l'article 36A, alinéa 4, lettre a, de la loi, ou touche des indemnités mentionnées par l'article 36A, alinéa 5, de la loi, ou par l'article 10, alinéa 1, du présent règlement. L’art. 18 RPCFam, dispose que le gain hypothétique des personnes considérées comme exerçant une activité lucrative est déterminé selon le gain et le taux d'activité réalisés avant la perception des indemnités pour perte de gain définies aux articles 36A, alinéa 5, de la loi, et 10, alinéa 1, du présent règlement (al. 1). Si le taux d'activité réalisé avant la perception des indemnités pour perte de gain n'atteint pas les taux fixés à l'article 36A, alinéa 4, de la loi, le taux moyen des 6 mois précédant le début du droit aux indemnités est pris en considération (al. 2). Le gain hypothétique correspond à la moitié de la différence entre le gain assuré et le montant qui pourrait être réalisé pour une activité à plein temps si la personne était en activité (al. 3). L'art. 19 RPCFam précise que lorsqu'un ayant droit ou un membre du groupe familial renonce à des éléments de revenus ou renonce à faire valoir un droit à un revenu, il est tenu compte d'un revenu hypothétique, conformément à l’art. 11 al. 1 let. g LPC.</w:t>
      </w:r>
    </w:p>
    <w:p>
      <w:r>
        <w:rPr>
          <w:b/>
        </w:rPr>
        <w:t>E. 6</w:t>
      </w:r>
    </w:p>
    <w:p>
      <w:r>
        <w:t>Dans un arrêt de principe du 29 octobre 2015, la chambre de céans a considéré que la jurisprudence rendue à propos l’art. 11 al. 1 let. g LPC s’applique également, et par analogie, à la prise en compte d’un gain hypothétique en matière de prestations complémentaires familiales. Il n’y avait pas de motif pour une interprétation plus restrictive de la notion d’effort de travail raisonnablement exigible (ATAS/817/2015 consid. 9). Dans un arrêt du 10 mai 2017 (ATAS/366/2017), la chambre de céans a précisé que l’arrêt du 12 janvier 2016 (ATAS/13/2016), dont se prévaut en l’espèce l’intimé, était un arrêt isolé et contraire à l’arrêt de principe du 29 octobre 2015 (ATAS/817/2015), lequel n’avait pas été remis en cause par un autre arrêt de principe et, de surcroit, avait été confirmé par un arrêt rendu le 10 février 2016 (ATAS/111/2016). C’est donc en vain que l’intimé invoque en l’espèce cette jurisprudence.</w:t>
      </w:r>
    </w:p>
    <w:p>
      <w:r>
        <w:rPr>
          <w:b/>
        </w:rPr>
        <w:t>E. 7</w:t>
      </w:r>
    </w:p>
    <w:p>
      <w:r>
        <w:t>a. Selon l’art. 11 al. 1 LPC, les revenus déterminants comprennent notamment : deux tiers des ressources en espèces ou en nature provenant de l’exercice d’une activité lucrative, pour autant qu’elles excèdent annuellement 1'000 fr. pour les personnes seules et 1’500 fr. pour les couples (let. a);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les allocations familiales (let. f); les ressources et parts de fortune dont un ayant droit s’est dessaisi (let. g); les pensions alimentaires prévues par le droit de la famille (let. h).</w:t>
      </w:r>
    </w:p>
    <w:p>
      <w:r>
        <w:t>A/2398/2017 - 6/10 - b. Par dessaisissement, il faut entendre, en particulier, la renonciation à des éléments de revenu ou de fortune sans obligation juridique ni contre-prestation équivalente (ATF 123 V 35 consid. 1; ATF 121 V 204 consid. 4a). Les revenus hypothétiques provenant d'une activité lucrative au sens de l’art. 11 let. g LPC ou fixés schématiquement aux art. 14a et 14b OPC-AVS/AI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 c. Il est en règle générale admis, en droit de la famille, qu’un époux (ou une épouse) ne peut être tenu(e) de prendre ou reprendre une activité lucrative à un taux de 50 % avant que le plus jeune des enfants dont il (ou elle) a la garde n’a atteint l’âge de dix ans révolus, et de 100 % avant qu’il (ou elle) n’a atteint l’âge de seize ans révolus ((ATF 137 III 102 consid. 4.2.2.2 ; 115 II 6 consid. 3c). Les lignes directrices qu’avalise cette jurisprudence doivent cependant, à teneur même de la jurisprudence, être appliquées de façon nuancée, en tenant compte des circonstances du cas d’espèce. Le juge dispose en la matière d’un large pouvoir d’appréciation (ATF 137 III 102 consid. 4.2.2.2 in fine ; 134 III 577 consid. 4). Le Tribunal fédéral s’est cependant lui-même montré plus restrictif pour la prise en compte d’un gain potentiel pour le calcul du droit aux prestations complémentaires. Ainsi que l’indique Michel VALTERIO (op. cit., n. 139 ad art. 11, p. 190), le Tribunal fédéral a jugé que l’on pouvait exiger d’une épouse atteinte de fibromyalgie et âgée de 39 ans qu’elle consacre une activité lucrative au moins à</w:t>
      </w:r>
    </w:p>
    <w:p>
      <w:r>
        <w:t>A/2398/2017 - 7/10 - mi-temps et ceci, même si elle avait trois enfants à charge et n’avait pratiquement jamais travaillé depuis son arrivée en Suisse, dans la mesure où elle devait pouvoir compter sur l’aide de l’assuré dans l’accomplissement des tâches éducatives et ménagères (arrêt 8C_470/2008 du 29 janvier 2009 consid. 5). Le Tribunal fédéral a retenu qu’une activité lucrative à 50 % pouvait être attendue d’une mère d’enfants de 12, 14 et 16 ans, d’autant plus qu’il pouvait être exigé de son mari au bénéfice d’une demi-rente d’invalidité qu’il s’occupe des enfants durant ce laps de temps (arrêt 9C_916/2011 du 3 février 2012). Il a également estimé qu’une activité à temps complet pouvait être attendue d’une femme de 41 ans qui avait cessé de travailler à temps partiel pour s’occuper de sa fille, âgée de 5 ans au moment déterminant (arrêt 8C_618/2007 du 20 juin 2008 consid. 4, où le Tribunal fédéral dit aussi qu’il y a lieu de déduire du revenu hypothétique les frais de garde des enfants selon les normes de l’impôt cantonal direct, selon le ch. 3421.04 des Directives de lOffice fédéral des assurances sociales concernant les prestations complémentaires à l’AVS et à l’AI - DPC), de même d’une mère d’un enfant de</w:t>
      </w:r>
    </w:p>
    <w:p>
      <w:r>
        <w:rPr>
          <w:b/>
        </w:rPr>
        <w:t>E. 10</w:t>
      </w:r>
    </w:p>
    <w:p>
      <w:r>
        <w:t>ans en bonne santé et scolarisé à proximité du domicile de sorte qu’il n’était pas indispensable qu’elle ne travaille qu’à mi-temps (arrêt 9C_724/2013 du 23 janvier 2014 consid. 4). La chambre de céans a jugé qu’il pouvait être attendu de l’épouse d’un assuré, alors âgée de près de 35 ans, disposant d’une pleine capacité de travail, en bonne santé, ayant accès au marché du travail, épouse d’un invalide à 100 % et mère d’un enfant alors âgé de 3 ans, qu’elle mette pleinement en œuvre sa capacité de travail, en cherchant un emploi à plein temps plutôt qu’en se contentant de son emploi à mi- temps. Le cas d’espèce présentait toutefois la double particularité que ladite épouse consacrait son demi temps disponible à suivre une formation et que son époux, quoique invalide à 100 %, était pleinement disponible et en mesure de s’occuper de l’enfant en question et même d’un premier enfant issu de son premier mariage (ATAS/1157/2014 du 11 novembre 2014). Il a également été jugé que l’épouse d’un assuré, encore jeune (37 ans), disposant d’une bonne instruction de base, parlant relativement bien le français, dont l’époux au bénéfice d’une rente entière d’invalidité était occupé à la Fondation ______ au maximum de ses possibilités (soit à 50 %) et ne pouvait, du fait de sa fatigue au retour de ce travail, l’aider dans les tâches ménagères et éducatives, pouvait prendre un emploi à mi-temps seulement – respectivement devait se voir opposer la prise en compte d’un gain potentiel correspondant – dès lors que les trois premiers enfants du couple (âgés de</w:t>
      </w:r>
    </w:p>
    <w:p>
      <w:r>
        <w:rPr>
          <w:b/>
        </w:rPr>
        <w:t>E. 12</w:t>
      </w:r>
    </w:p>
    <w:p>
      <w:r>
        <w:t>à 14 ans) étaient scolarisés tant que le quatrième enfant, alors âgé de un et demi, ne le serait pas. (ATAS/468/2004 du 16 juin 2014). Un taux d'activité lucrative possible de 50% a été retenu pour une épouse ayant des enfants à charge, travaillant déjà comme patrouilleuse scolaire, mais à raison de 22 heures par mois seulement, et dont l'état de santé permettait d'exercer des travaux de nettoyage deux heures par jour, en sus de l'activité de patrouilleuse (ATAS/372/2004). De même, une capacité de travail partielle a été retenue pour une épouse de 48 ans, analphabète, n'ayant jamais exercé d'activité lucrative ni bénévole, avec des enfants adultes et</w:t>
      </w:r>
    </w:p>
    <w:p>
      <w:r>
        <w:t>A/2398/2017 - 8/10 - adolescents, de santé fragile, atteinte de fibromyalgie et pour laquelle l'office cantonal de l'assurance-invalidité n'avait pas retenu de troubles invalidants (ATAS/246/2006 ; cf. également ATAS/1445/2007). La chambre de céans a estimé qu’aucun gain potentiel de l’épouse ne pouvait être pris en compte pour le calcul du droit de son mari aux prestations complémentaires, dès lors que ladite épouse devait s’occuper de trois enfants non encore scolarisés (en plus de deux enfants scolarisés depuis un à deux ans), ne pouvait compter sur la participation de son mari aux tâches ménagères et éducatives du fait de son état de santé, et qu’elle-même ne bénéficiait d’aucune instruction de base, parlait mal le français et n’était que titulaire d’un permis F. Il a néanmoins été précisé ne pas voir pourquoi ladite assurée, encore jeune et en bonne santé, serait empêchée de prendre un emploi à mi-temps dès que le plus jeune de ses enfants à charge serait scolarisé (ATAS/1100/2014 du 21 octobre 2014). Tout gain potentiel a encore été exclu pour une épouse n'ayant aucune formation, ne parlant pratiquement pas le français et ayant plusieurs enfants en bas âge (ATAS/750/2004). Il en a été de même pour une jeune épouse ayant quatre enfants, dont le plus âgé avait seulement cinq ans. Dans cette affaire, la chambre de céans a toutefois précisé que la situation pourrait être revue lorsque les enfants seraient scolarisés, ce qui permettrait à l'épouse de dégager du temps pour exercer une activité lucrative à temps partiel (ATAS/553/2014). Enfin, un gain hypothétique a été exclu durant le dernier mois de grossesse de l’épouse du bénéficiaire ainsi que durant le congé maternité ; il pouvait cependant être attendu de cette deuxième qu’elle reprenne une activité lucrative après le congé maternité au vu de sa bonne formation et malgré la présence de deux enfants en bas âge dont l’un nécessite un suivi de logopédie de quarante-cinq minutes par semaine et de psychomotricité de soixante minutes par semaine (ATAS/111/2016 du 10 février 2016).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Selon l'art. 25 al. 1 1ère phrase LPGA, en relation avec l'art. 2 al. 1 let. a de l'Ordonnance sur la partie générale du droit des assurances sociales du</w:t>
      </w:r>
    </w:p>
    <w:p>
      <w:r>
        <w:t>A/2398/2017 - 9/10 - 11 septembre 2002 (OPGA; RS 830.11), les prestations indûment touchées doivent être restituées par le bénéficiaire ou par ses héritiers. En vertu de l'art. 3 al. 1 OPGA, l’étendue de l’obligation de restituer est fixée par une décision. Au niveau cantonal, l'art. 24 al. 1 1ère phrase LPCC prévoit que les prestations indûment touchées doivent être restituées. Les principes applicables à la restitution de prestations au sens de l’art. 25 LPGA sont issus de la réglementation et de la jurisprudence valables avant l'entrée en vigueur de la LPGA. Aujourd'hui comme par le passé, l'obligation de restituer suppose que soient réalisées les conditions d'une révision procédurale (cf. art. 53 al. 1 LPGA) ou d'une reconsidération (cf. art. 53 al. 2 LPGA) de la décision - formelle ou non - par laquelle les prestations en cause ont été allouées (ATF 130 V 318 consid. 5.2; arrêt du Tribunal fédéral 8C_422/2011 du 5 juin 2012 consid. 2.1). 10. En l’occurrence, la recourante fait grief à l’intimé d’avoir pris en compte un gain hypothétique pour son époux, lequel, âgé de 62 ans était en bonne santé mais n’avais jamais exercé de réelle activité lucrative, hormis quelques missions à la demi-journée, et devait s’occuper de leur fille, âgée de 3 ans au cours de la période litigieuse. A cet égard, force est de constater que l’intimé n’a pas procédé à un examen de la situation de la recourante et de son époux, étant donné qu’il a estimé qu’un gain hypothétique devait être comptabilisé quelques fût les circonstances. Or, au vu de l’arrêt de principe du 29 octobre 2015 précité, cet avis ne peut être retenu. Etant donné qu’il manque au dossier les éléments nécessaires pour effectuer une appréciation de l’exigibilité d’une activité lucrative de la part de l’époux de la recourante (notamment quant à sa formation, les activités précédentes exercées, les recherches de travail éventuellement effectuées etc…), il convient de renvoyer la cause à l’intimé afin qu’il examine cette question et rende une nouvelle décision. 11. Partant, le recours sera partiellement admis, la décision litigieuse annulée et la cause renvoyée à l’intimé pour nouvelle décision, dans le sens des considérants. Vu l’issue du litige, une indemnité de CHF 1'500.- sera allouée à la recourante, à charge de l’intimé.</w:t>
      </w:r>
    </w:p>
    <w:p>
      <w:r>
        <w:t>A/2398/2017 - 10/10 -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