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ATAS/968/2014 vom 3. September 2014</w:t>
      </w:r>
    </w:p>
    <w:p>
      <w:r>
        <w:t>GE Cour de justice, 2014-09-03, FR</w:t>
      </w:r>
    </w:p>
    <w:p>
      <w:r>
        <w:rPr>
          <w:b/>
        </w:rPr>
        <w:t xml:space="preserve">Quelle: </w:t>
      </w:r>
      <w:r>
        <w:t>https://mcp.opencaselaw.ch/entscheid/ge_gerichte_ATAS_968_2014</w:t>
      </w:r>
    </w:p>
    <w:p>
      <w:r>
        <w:t>FR: GE_GERICHTE ATAS/968/2014 du 3 septembre 2014</w:t>
      </w:r>
    </w:p>
    <w:p>
      <w:r>
        <w:t>IT: GE_GERICHTE ATAS/968/2014 del 3 settembre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t>A/779/2014 - 5/12 -</w:t>
      </w:r>
    </w:p>
    <w:p>
      <w:r>
        <w:rPr>
          <w:b/>
        </w:rPr>
        <w:t>E. 3</w:t>
      </w:r>
    </w:p>
    <w:p>
      <w:r>
        <w:t>Interjeté dans la forme et le délai prévus par la loi, le recours est recevable (art. 56 et 60 LPGA ; art. 89B de la loi sur la procédure administrative du 12 septembre 1985 – LPA ; RS/GE E 5 10).</w:t>
      </w:r>
    </w:p>
    <w:p>
      <w:r>
        <w:rPr>
          <w:b/>
        </w:rPr>
        <w:t>E. 4</w:t>
      </w:r>
    </w:p>
    <w:p>
      <w:r>
        <w:t>Le litige porte sur le droit du recourant à des prestations de l’assurance-invalidité, singulièrement sur son degré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w:t>
      </w:r>
    </w:p>
    <w:p>
      <w:r>
        <w:t>A/779/2014 - 6/12 -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A/779/2014 - 7/12 - écarter aussi longtemps qu'aucun indice concret ne permet de douter de leur bien- fondé (ATF 125 V 351 consid. 3b/bb). Cela étant,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Toutefois,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w:t>
      </w:r>
    </w:p>
    <w:p>
      <w:r>
        <w:rPr>
          <w:b/>
        </w:rPr>
        <w:t>E. 9</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w:t>
      </w:r>
    </w:p>
    <w:p>
      <w:r>
        <w:t>A/779/2014 - 8/12 -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w:t>
      </w:r>
    </w:p>
    <w:p>
      <w:r>
        <w:t>A/779/2014 - 9/12 - les références; arrêt du Tribunal fédéral 8C_337/2009 du 18 février 2010 consid. 7.5).</w:t>
      </w:r>
    </w:p>
    <w:p>
      <w:r>
        <w:rPr>
          <w:b/>
        </w:rPr>
        <w:t>E. 10</w:t>
      </w:r>
    </w:p>
    <w:p>
      <w:r>
        <w:t>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w:t>
      </w:r>
    </w:p>
    <w:p>
      <w:r>
        <w:rPr>
          <w:b/>
        </w:rPr>
        <w:t>E. 11</w:t>
      </w:r>
    </w:p>
    <w:p>
      <w:r>
        <w:t>En l’espèce, il n’est pas contesté qu’en raison de ses atteintes à la santé, le recourant ne peut plus exercer son ancienne activité de chauffeur-livreur ou de préparateur de voitures. Demeure en revanche litigieuse la question de sa capacité de travail résiduelle dans une activité adaptée. Selon la Dresse B______, médecin traitant, le recourant présente les limitations fonctionnelles suivantes : il doit éviter les activités exercées uniquement en position debout, dans différentes positions, en marchant sur un terrain irrégulier, il doit éviter de se pencher, la position accroupie, à genoux, la rotation en position assise/en position debout, de soulever/porter des charges supérieures à 5 kg, de monter sur une échelle ou un échafaudage. La capacité de concentration est limitée à une demi-heure, les capacités d’adaptation et de résistance sont également limitées. Des mesures de réadaptation dans un poste adapté sont possibles et susceptibles d’augmenter la capacité de travail. Dans son rapport du 12 octobre 2012, le médecin traitant indique que l’état de santé est demeuré stationnaire, que la capacité de travail dans un poste adapté est de 50 %, mais précise qu’un examen médical complémentaire serait nécessaire pour évaluer les conséquences de l’atteinte à la santé sur la capacité de travail. Les autres médecins ayant examiné le recourant ne se sont pas prononcés sur la capacité de travail. Au vu des conclusions du médecin traitant, l’intimé a mis en oeuvre un examen bi- disciplinaire auprès du SMR. Les médecins ont pris connaissance du dossier médical, effectué une anamnèse familiale, professionnelle et psycho-sociale détaillée, relaté les plaintes du recourant et procédé à un examen clinique somatique et psychiatrique. Ils ont posé des diagnostics selon la classification internationale, le rhumatologue a décrit les limitations fonctionnelles sur le plan ostéo-articulaire et la psychiatre a expliqué les raisons lesquelles elle n’a pas retenu de diagnostic psychiatrique incapacitant. Selon le SMR, la capacité de travail du recourant est nulle dans l’ancienne activité de chauffeur-livreur, mais elle est totale dans une activité adaptée respectant les limitations fonctionnelles. La chambre de céans constate que le rapport d’examen du SMR est circonstancié et que les conclusions des médecins examinateurs sont claires et bien motivées. Partant, il remplit tous les réquisits jurisprudentiels pour se voir attribuer pleine valeur probante.</w:t>
      </w:r>
    </w:p>
    <w:p>
      <w:r>
        <w:t>A/779/2014 - 10/12 - Les documents produits par le recourant en cours de procédure ne sont pas de nature à mettre en doute les conclusions du SMR. En effet, l’IRM de l’épaule droite du 31 octobre 2013 n’apporte aucun élément médical nouveau ou qui aurait été ignoré par le SMR. En effet, lors de son examen d’août 2013, le Dr C______ avait déjà retenu une périarthrite scapulo-humérale de l’épaule droite. Le recourant n’a par ailleurs produit aucun rapport médical susceptible de remettre en cause les conclusions de la Dresse D______. Au vu de ce qui précède, c’est à juste titre que l’intimé s’est rallié aux conclusions du SMR et qu’il a retenu que la capacité de travail du recourant était entière dans une activité adaptée.</w:t>
      </w:r>
    </w:p>
    <w:p>
      <w:r>
        <w:rPr>
          <w:b/>
        </w:rPr>
        <w:t>E. 12</w:t>
      </w:r>
    </w:p>
    <w:p>
      <w:r>
        <w:t>Reste à déterminer le degré d’invalidité du recourant en procédant à la comparaison des revenus, le statut du recourant étant celui d’une personne active. En l’occurrence, pour le revenu sans invalidité, l’intimé s’est référé aux salaires statistiques ressortant de l’Enquête suisse sur la structure des salaires (ESS), en raison du parcours professionnel peu régulier du recourant. Il résulte en effet des pièces du dossier que le recourant n’a plus exercé d’activité depuis 2010. Auparavant, il avait d’abord travaillé comme salarié dans diverses entreprises, puis comme indépendant avec des revenus irréguliers, qu’il a ensuite bénéficié d’emplois temporaires dans le cadre du chômage. Le dossier ne contient pas de renseignement provenant de ses dernières activités de chauffeur-livreur. Au vu du manque d’informations concrètes et fiables sur le revenu sans invalidité et du parcours professionnel du recourant, c’est à juste titre que l’intimé a pris en compte les données statistiques. Quant au revenu d’invalide, dès lors que le recourant n’exerce aucune activité lucrative, il convient également de se référer aux salaires statistiques. Conformément à la jurisprudence, lorsque les revenus avec et sans invalidité sont ainsi basés sur la même tabelle statistique, il est superflu de les chiffrer avec exactitude. En effet, en pareil cas, le degré d'invalidité se confond avec celui de l'incapacité de travail, sous réserve d'une éventuelle réduction du revenu d'invalide. La chambre de céans constate que l’intimé n’a pas procédé à un abattement sur le revenu d’invalide.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En l’espèce, au regard des limitations fonctionnelles, du fait que seule une activité légère est possible et de l’âge de l’assuré, il se justifie de procéder à un abattement de 15 % sur le revenu statistique, de sorte que le degré d’invalidité du recourant</w:t>
      </w:r>
    </w:p>
    <w:p>
      <w:r>
        <w:t>A/779/2014 - 11/12 - s’élève à 15 %. Ce degré d’invalidité est cependant insuffisant pour ouvrir droit à une rente d’invalidité ainsi qu’à des mesures de réadaptation professionnelle.</w:t>
      </w:r>
    </w:p>
    <w:p>
      <w:r>
        <w:rPr>
          <w:b/>
        </w:rPr>
        <w:t>E. 13</w:t>
      </w:r>
    </w:p>
    <w:p>
      <w:r>
        <w:t>Au vu de ce qui précède, le recours, mal fondé, est rejeté.</w:t>
      </w:r>
    </w:p>
    <w:p>
      <w:r>
        <w:rPr>
          <w:b/>
        </w:rPr>
        <w:t>E. 14</w:t>
      </w:r>
    </w:p>
    <w:p>
      <w:r>
        <w:t>Le recourant étant au bénéfice de l’assistance juridique, la chambre de céans renonce à percevoir un émolument.</w:t>
      </w:r>
    </w:p>
    <w:p>
      <w:r>
        <w:t>A/779/2014 - 12/12 -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